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framePr/>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65.020.30</w:t>
      </w:r>
      <w:r>
        <w:fldChar w:fldCharType="end"/>
      </w:r>
      <w:bookmarkEnd w:id="0"/>
    </w:p>
    <w:p>
      <w:pPr>
        <w:pStyle w:val="44"/>
        <w:framePr/>
      </w:pP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nil"/>
              <w:left w:val="nil"/>
              <w:bottom w:val="nil"/>
              <w:right w:val="nil"/>
            </w:tcBorders>
            <w:shd w:val="clear" w:color="auto" w:fill="auto"/>
          </w:tcPr>
          <w:p>
            <w:pPr>
              <w:pStyle w:val="44"/>
              <w:framePr/>
            </w:pPr>
            <w:r>
              <w:rPr>
                <w:lang w:bidi="mn-Mong-CN"/>
              </w:rPr>
              <w:pict>
                <v:rect id="BAH" o:spid="_x0000_s1031" o:spt="1" style="position:absolute;left:0pt;margin-left:-5.25pt;margin-top:0pt;height:15.6pt;width:68.25pt;z-index:-251652096;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1" w:name="BAH"/>
            <w:r>
              <w:instrText xml:space="preserve"> FORMTEXT </w:instrText>
            </w:r>
            <w:r>
              <w:fldChar w:fldCharType="separate"/>
            </w:r>
            <w:r>
              <w:t>     </w:t>
            </w:r>
            <w:r>
              <w:fldChar w:fldCharType="end"/>
            </w:r>
            <w:bookmarkEnd w:id="1"/>
          </w:p>
        </w:tc>
      </w:tr>
    </w:tbl>
    <w:p>
      <w:pPr>
        <w:pStyle w:val="40"/>
        <w:framePr/>
      </w:pPr>
      <w:r>
        <w:t>DB</w:t>
      </w:r>
      <w:bookmarkStart w:id="2"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2"/>
    </w:p>
    <w:p>
      <w:pPr>
        <w:pStyle w:val="41"/>
        <w:framePr/>
      </w:pPr>
      <w:bookmarkStart w:id="3" w:name="c4"/>
      <w:r>
        <w:fldChar w:fldCharType="begin">
          <w:ffData>
            <w:name w:val="c4"/>
            <w:enabled/>
            <w:calcOnExit w:val="0"/>
            <w:entryMacro w:val="showhelp12"/>
            <w:textInput/>
          </w:ffData>
        </w:fldChar>
      </w:r>
      <w:r>
        <w:instrText xml:space="preserve"> FORMTEXT </w:instrText>
      </w:r>
      <w:r>
        <w:fldChar w:fldCharType="separate"/>
      </w:r>
      <w:r>
        <w:t>内</w:t>
      </w:r>
      <w:r>
        <w:rPr>
          <w:rFonts w:hint="eastAsia"/>
        </w:rPr>
        <w:t>蒙古自治区</w:t>
      </w:r>
      <w:r>
        <w:fldChar w:fldCharType="end"/>
      </w:r>
      <w:bookmarkEnd w:id="3"/>
      <w:r>
        <w:rPr>
          <w:rFonts w:hint="eastAsia"/>
        </w:rPr>
        <w:t>地方</w:t>
      </w:r>
      <w:r>
        <w:rPr>
          <w:rFonts w:hint="eastAsia"/>
          <w:lang w:eastAsia="zh-CN"/>
        </w:rPr>
        <w:t>文件</w:t>
      </w:r>
    </w:p>
    <w:p>
      <w:pPr>
        <w:pStyle w:val="17"/>
        <w:framePr/>
        <w:rPr>
          <w:rFonts w:hAnsi="黑体"/>
        </w:rPr>
      </w:pPr>
      <w:r>
        <w:rPr>
          <w:rFonts w:ascii="Times New Roman"/>
        </w:rPr>
        <w:t xml:space="preserve">DB </w:t>
      </w:r>
      <w:bookmarkStart w:id="4"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Ansi="黑体"/>
        </w:rPr>
        <w:t>XX</w:t>
      </w:r>
      <w:r>
        <w:rPr>
          <w:rFonts w:hAnsi="黑体"/>
        </w:rPr>
        <w:fldChar w:fldCharType="end"/>
      </w:r>
      <w:bookmarkEnd w:id="4"/>
      <w:r>
        <w:rPr>
          <w:rFonts w:hAnsi="黑体"/>
        </w:rPr>
        <w:t xml:space="preserve">/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23"/>
              <w:framePr/>
            </w:pPr>
            <w:bookmarkStart w:id="7" w:name="DT"/>
            <w:r>
              <w:rPr>
                <w:lang w:bidi="mn-Mong-CN"/>
              </w:rPr>
              <w:pict>
                <v:rect id="DT" o:spid="_x0000_s1028" o:spt="1" style="position:absolute;left:0pt;margin-left:372.8pt;margin-top:2.7pt;height:18pt;width:90pt;z-index:-251655168;mso-width-relative:page;mso-height-relative:page;" stroked="f" coordsize="21600,21600">
                  <v:path/>
                  <v:fill focussize="0,0"/>
                  <v:stroke on="f"/>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7"/>
          </w:p>
        </w:tc>
      </w:tr>
    </w:tbl>
    <w:p>
      <w:pPr>
        <w:pStyle w:val="17"/>
        <w:framePr/>
        <w:rPr>
          <w:rFonts w:hAnsi="黑体"/>
        </w:rPr>
      </w:pPr>
    </w:p>
    <w:p>
      <w:pPr>
        <w:pStyle w:val="17"/>
        <w:framePr/>
        <w:rPr>
          <w:rFonts w:hAnsi="黑体"/>
        </w:rPr>
      </w:pPr>
    </w:p>
    <w:p>
      <w:pPr>
        <w:pStyle w:val="24"/>
        <w:framePr/>
      </w:pPr>
      <w:bookmarkStart w:id="8"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内蒙古白绒山羊羔羊育肥技术规程</w:t>
      </w:r>
      <w:r>
        <w:fldChar w:fldCharType="end"/>
      </w:r>
      <w:bookmarkEnd w:id="8"/>
    </w:p>
    <w:p>
      <w:pPr>
        <w:pStyle w:val="25"/>
        <w:framePr/>
      </w:pPr>
      <w:bookmarkStart w:id="9"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Technical </w:t>
      </w:r>
      <w:r>
        <w:rPr>
          <w:rFonts w:hint="eastAsia"/>
        </w:rPr>
        <w:t>r</w:t>
      </w:r>
      <w:r>
        <w:t>egulation of fattening Inner Mongolia White Cashmere Goat kids</w:t>
      </w:r>
      <w:r>
        <w:fldChar w:fldCharType="end"/>
      </w:r>
      <w:bookmarkEnd w:id="9"/>
    </w:p>
    <w:p>
      <w:pPr>
        <w:pStyle w:val="26"/>
        <w:framePr/>
      </w:pPr>
      <w:bookmarkStart w:id="10"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w:t>
      </w:r>
      <w:r>
        <w:rPr>
          <w:rFonts w:hint="eastAsia"/>
          <w:lang w:eastAsia="zh-CN"/>
        </w:rPr>
        <w:t>文件</w:t>
      </w:r>
      <w:r>
        <w:rPr>
          <w:rFonts w:hint="eastAsia"/>
        </w:rPr>
        <w:t>一致性程度的标识</w:t>
      </w:r>
      <w:r>
        <w:fldChar w:fldCharType="end"/>
      </w:r>
      <w:bookmarkEnd w:id="10"/>
    </w:p>
    <w:tbl>
      <w:tblPr>
        <w:tblStyle w:val="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27"/>
              <w:framePr/>
            </w:pPr>
            <w:r>
              <w:rPr>
                <w:lang w:bidi="mn-Mong-CN"/>
              </w:rPr>
              <w:pict>
                <v:rect id="RQ" o:spid="_x0000_s1030" o:spt="1" style="position:absolute;left:0pt;margin-left:173.3pt;margin-top:45.15pt;height:20pt;width:150pt;z-index:-251653120;mso-width-relative:page;mso-height-relative:page;" stroked="f" coordsize="21600,21600">
                  <v:path/>
                  <v:fill focussize="0,0"/>
                  <v:stroke on="f"/>
                  <v:imagedata o:title=""/>
                  <o:lock v:ext="edit"/>
                  <w10:anchorlock/>
                </v:rect>
              </w:pict>
            </w:r>
            <w:r>
              <w:rPr>
                <w:lang w:bidi="mn-Mong-CN"/>
              </w:rPr>
              <w:pict>
                <v:rect id="LB" o:spid="_x0000_s1029" o:spt="1" style="position:absolute;left:0pt;margin-left:193.3pt;margin-top:20.15pt;height:24pt;width:100pt;z-index:-251654144;mso-width-relative:page;mso-height-relative:page;" stroked="f" coordsize="21600,21600">
                  <v:path/>
                  <v:fill focussize="0,0"/>
                  <v:stroke on="f"/>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1" w:name="LB"/>
            <w:r>
              <w:instrText xml:space="preserve"> FORMDROPDOWN </w:instrText>
            </w:r>
            <w:r>
              <w:fldChar w:fldCharType="separate"/>
            </w:r>
            <w:r>
              <w:fldChar w:fldCharType="end"/>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28"/>
              <w:framePr/>
            </w:pPr>
          </w:p>
        </w:tc>
      </w:tr>
    </w:tbl>
    <w:p>
      <w:pPr>
        <w:pStyle w:val="46"/>
        <w:framePr/>
      </w:pPr>
      <w:bookmarkStart w:id="12"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    </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w:rPr>
          <w:lang w:bidi="mn-Mong-CN"/>
        </w:rPr>
        <w:pict>
          <v:line id="_x0000_s1026" o:spid="_x0000_s1026"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47"/>
        <w:framePr/>
      </w:pPr>
      <w:bookmarkStart w:id="14"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42"/>
        <w:framePr/>
      </w:pPr>
      <w:bookmarkStart w:id="17" w:name="fm"/>
      <w:r>
        <w:fldChar w:fldCharType="begin">
          <w:ffData>
            <w:name w:val="fm"/>
            <w:enabled/>
            <w:calcOnExit w:val="0"/>
            <w:textInput/>
          </w:ffData>
        </w:fldChar>
      </w:r>
      <w:r>
        <w:instrText xml:space="preserve"> FORMTEXT </w:instrText>
      </w:r>
      <w:r>
        <w:fldChar w:fldCharType="separate"/>
      </w:r>
      <w:r>
        <w:t>内</w:t>
      </w:r>
      <w:r>
        <w:rPr>
          <w:rFonts w:hint="eastAsia"/>
        </w:rPr>
        <w:t>蒙古自治区市场管理监督局</w:t>
      </w:r>
      <w:r>
        <w:fldChar w:fldCharType="end"/>
      </w:r>
      <w:bookmarkEnd w:id="17"/>
      <w:r>
        <w:rPr>
          <w:rFonts w:hint="eastAsia" w:ascii="MS Mincho" w:hAnsi="MS Mincho" w:eastAsia="MS Mincho" w:cs="MS Mincho"/>
        </w:rPr>
        <w:t>   </w:t>
      </w:r>
      <w:r>
        <w:rPr>
          <w:rStyle w:val="22"/>
          <w:rFonts w:hint="eastAsia"/>
        </w:rPr>
        <w:t>发布</w:t>
      </w:r>
    </w:p>
    <w:p>
      <w:pPr>
        <w:pStyle w:val="10"/>
        <w:sectPr>
          <w:pgSz w:w="11906" w:h="16838"/>
          <w:pgMar w:top="1440" w:right="1800" w:bottom="1440" w:left="1800" w:header="851" w:footer="992" w:gutter="0"/>
          <w:cols w:space="425" w:num="1"/>
          <w:docGrid w:type="lines" w:linePitch="312" w:charSpace="0"/>
        </w:sectPr>
      </w:pPr>
      <w:r>
        <w:rPr>
          <w:lang w:bidi="mn-Mong-CN"/>
        </w:rPr>
        <w:pict>
          <v:line id="_x0000_s1027" o:spid="_x0000_s1027" o:spt="20" style="position:absolute;left:0pt;margin-left:-0.05pt;margin-top:184.25pt;height:0pt;width:481.9pt;z-index:251660288;mso-width-relative:page;mso-height-relative:page;" coordsize="21600,21600">
            <v:path arrowok="t"/>
            <v:fill focussize="0,0"/>
            <v:stroke/>
            <v:imagedata o:title=""/>
            <o:lock v:ext="edit"/>
          </v:line>
        </w:pict>
      </w:r>
    </w:p>
    <w:p>
      <w:pPr>
        <w:pStyle w:val="43"/>
      </w:pPr>
      <w:r>
        <w:rPr>
          <w:rFonts w:hint="eastAsia"/>
        </w:rPr>
        <w:t>前</w:t>
      </w:r>
      <w:bookmarkStart w:id="18" w:name="BKQY"/>
      <w:r>
        <w:rPr>
          <w:rFonts w:hint="eastAsia" w:ascii="MS Mincho" w:hAnsi="MS Mincho" w:eastAsia="MS Mincho" w:cs="MS Mincho"/>
        </w:rPr>
        <w:t>  </w:t>
      </w:r>
      <w:r>
        <w:rPr>
          <w:rFonts w:hint="eastAsia"/>
        </w:rPr>
        <w:t>言</w:t>
      </w:r>
      <w:bookmarkEnd w:id="18"/>
    </w:p>
    <w:p>
      <w:pPr>
        <w:pStyle w:val="10"/>
      </w:pPr>
      <w:r>
        <w:rPr>
          <w:rFonts w:hint="eastAsia"/>
        </w:rPr>
        <w:t>本</w:t>
      </w:r>
      <w:r>
        <w:rPr>
          <w:rFonts w:hint="eastAsia"/>
          <w:lang w:eastAsia="zh-CN"/>
        </w:rPr>
        <w:t>文件</w:t>
      </w:r>
      <w:r>
        <w:rPr>
          <w:rFonts w:hint="eastAsia"/>
        </w:rPr>
        <w:t>按照GB/T 1.1-20</w:t>
      </w:r>
      <w:r>
        <w:rPr>
          <w:rFonts w:hint="eastAsia"/>
          <w:lang w:val="en-US" w:eastAsia="zh-CN"/>
        </w:rPr>
        <w:t>20</w:t>
      </w:r>
      <w:r>
        <w:rPr>
          <w:rFonts w:hint="eastAsia"/>
        </w:rPr>
        <w:t>给出的规则起草。</w:t>
      </w:r>
    </w:p>
    <w:p>
      <w:pPr>
        <w:pStyle w:val="10"/>
      </w:pPr>
      <w:r>
        <w:rPr>
          <w:rFonts w:hint="eastAsia"/>
        </w:rPr>
        <w:t>本</w:t>
      </w:r>
      <w:r>
        <w:rPr>
          <w:rFonts w:hint="eastAsia"/>
          <w:lang w:eastAsia="zh-CN"/>
        </w:rPr>
        <w:t>文件</w:t>
      </w:r>
      <w:r>
        <w:rPr>
          <w:rFonts w:hint="eastAsia"/>
        </w:rPr>
        <w:t>由准格尔旗农牧局提出。</w:t>
      </w:r>
    </w:p>
    <w:p>
      <w:pPr>
        <w:pStyle w:val="10"/>
      </w:pPr>
      <w:r>
        <w:rPr>
          <w:rFonts w:hint="eastAsia"/>
        </w:rPr>
        <w:t>本</w:t>
      </w:r>
      <w:r>
        <w:rPr>
          <w:rFonts w:hint="eastAsia"/>
          <w:lang w:eastAsia="zh-CN"/>
        </w:rPr>
        <w:t>文件</w:t>
      </w:r>
      <w:r>
        <w:rPr>
          <w:rFonts w:hint="eastAsia"/>
        </w:rPr>
        <w:t>由内蒙古自治区畜牧业</w:t>
      </w:r>
      <w:r>
        <w:rPr>
          <w:rFonts w:hint="eastAsia"/>
          <w:lang w:eastAsia="zh-CN"/>
        </w:rPr>
        <w:t>文件</w:t>
      </w:r>
      <w:r>
        <w:rPr>
          <w:rFonts w:hint="eastAsia"/>
        </w:rPr>
        <w:t>化技术委员会（SAM/TC 19）归口。</w:t>
      </w:r>
    </w:p>
    <w:p>
      <w:pPr>
        <w:pStyle w:val="10"/>
      </w:pPr>
      <w:r>
        <w:rPr>
          <w:rFonts w:hint="eastAsia"/>
        </w:rPr>
        <w:t>本</w:t>
      </w:r>
      <w:r>
        <w:rPr>
          <w:rFonts w:hint="eastAsia"/>
          <w:lang w:eastAsia="zh-CN"/>
        </w:rPr>
        <w:t>文件</w:t>
      </w:r>
      <w:r>
        <w:rPr>
          <w:rFonts w:hint="eastAsia"/>
        </w:rPr>
        <w:t>起草单位：准格尔旗农牧局,内蒙古自治区农牧业科学院、内蒙古自治区产品质量检验研究院。</w:t>
      </w:r>
    </w:p>
    <w:p>
      <w:pPr>
        <w:pStyle w:val="10"/>
      </w:pPr>
      <w:r>
        <w:rPr>
          <w:rFonts w:hint="eastAsia"/>
        </w:rPr>
        <w:t>本</w:t>
      </w:r>
      <w:r>
        <w:rPr>
          <w:rFonts w:hint="eastAsia"/>
          <w:lang w:eastAsia="zh-CN"/>
        </w:rPr>
        <w:t>文件</w:t>
      </w:r>
      <w:r>
        <w:rPr>
          <w:rFonts w:hint="eastAsia"/>
        </w:rPr>
        <w:t>主要起草人：王权、郭天龙、庞文婷、李康、任国、宝华、王金燕、王标、李显光。</w:t>
      </w:r>
    </w:p>
    <w:p>
      <w:pPr>
        <w:pStyle w:val="10"/>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18"/>
      </w:pPr>
      <w:r>
        <w:rPr>
          <w:rFonts w:hint="eastAsia"/>
        </w:rPr>
        <w:t>内</w:t>
      </w:r>
      <w:bookmarkStart w:id="19" w:name="StandardName"/>
      <w:r>
        <w:rPr>
          <w:rFonts w:hint="eastAsia"/>
        </w:rPr>
        <w:t>蒙古白绒山羊羔羊育肥技术规程</w:t>
      </w:r>
      <w:bookmarkEnd w:id="19"/>
    </w:p>
    <w:p>
      <w:pPr>
        <w:pStyle w:val="15"/>
      </w:pPr>
      <w:r>
        <w:rPr>
          <w:rFonts w:hint="eastAsia"/>
        </w:rPr>
        <w:t>范围</w:t>
      </w:r>
    </w:p>
    <w:p>
      <w:pPr>
        <w:pStyle w:val="10"/>
      </w:pPr>
      <w:r>
        <w:rPr>
          <w:rFonts w:hint="eastAsia"/>
        </w:rPr>
        <w:t>本</w:t>
      </w:r>
      <w:r>
        <w:rPr>
          <w:rFonts w:hint="eastAsia"/>
          <w:lang w:eastAsia="zh-CN"/>
        </w:rPr>
        <w:t>文件</w:t>
      </w:r>
      <w:r>
        <w:rPr>
          <w:rFonts w:hint="eastAsia"/>
        </w:rPr>
        <w:t>适用于内蒙古白绒山羊羔羊舍饲育肥管理，有助于解决内蒙古自治区绒山羊产业面临的问题，可作为内蒙古白绒山羊羔羊生产管理的技术依据和指导。</w:t>
      </w:r>
    </w:p>
    <w:p>
      <w:pPr>
        <w:pStyle w:val="15"/>
      </w:pPr>
      <w:r>
        <w:rPr>
          <w:rFonts w:hint="eastAsia"/>
        </w:rPr>
        <w:t>规范性引用文件</w:t>
      </w:r>
    </w:p>
    <w:p>
      <w:pPr>
        <w:pStyle w:val="1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60" w:lineRule="auto"/>
        <w:ind w:firstLine="412"/>
        <w:rPr>
          <w:rFonts w:ascii="宋体" w:hAnsi="宋体"/>
        </w:rPr>
      </w:pPr>
      <w:r>
        <w:rPr>
          <w:rFonts w:hint="eastAsia" w:ascii="宋体" w:hAnsi="宋体"/>
        </w:rPr>
        <w:t>GB/T 13078 饲料卫生</w:t>
      </w:r>
      <w:r>
        <w:rPr>
          <w:rFonts w:hint="eastAsia" w:ascii="宋体" w:hAnsi="宋体"/>
          <w:lang w:eastAsia="zh-CN"/>
        </w:rPr>
        <w:t>文件</w:t>
      </w:r>
    </w:p>
    <w:p>
      <w:pPr>
        <w:spacing w:line="360" w:lineRule="auto"/>
        <w:ind w:firstLine="412"/>
        <w:rPr>
          <w:rFonts w:ascii="宋体" w:hAnsi="宋体"/>
        </w:rPr>
      </w:pPr>
      <w:r>
        <w:rPr>
          <w:rFonts w:ascii="宋体" w:hAnsi="宋体"/>
        </w:rPr>
        <w:t xml:space="preserve">NY/T 388 </w:t>
      </w:r>
      <w:r>
        <w:rPr>
          <w:rFonts w:ascii="宋体"/>
        </w:rPr>
        <w:t>畜禽场环境质量</w:t>
      </w:r>
      <w:r>
        <w:rPr>
          <w:rFonts w:hint="eastAsia" w:ascii="宋体"/>
          <w:lang w:eastAsia="zh-CN"/>
        </w:rPr>
        <w:t>文件</w:t>
      </w:r>
    </w:p>
    <w:p>
      <w:pPr>
        <w:spacing w:line="360" w:lineRule="auto"/>
        <w:ind w:firstLine="412"/>
        <w:rPr>
          <w:rFonts w:ascii="宋体" w:hAnsi="宋体"/>
        </w:rPr>
      </w:pPr>
      <w:r>
        <w:rPr>
          <w:rFonts w:ascii="宋体" w:hAnsi="宋体"/>
        </w:rPr>
        <w:t>NY/T 1168 畜禽粪便无害化处理技术规范</w:t>
      </w:r>
    </w:p>
    <w:p>
      <w:pPr>
        <w:spacing w:line="360" w:lineRule="auto"/>
        <w:ind w:firstLine="412"/>
        <w:rPr>
          <w:rFonts w:ascii="宋体" w:hAnsi="宋体"/>
        </w:rPr>
      </w:pPr>
      <w:r>
        <w:rPr>
          <w:rFonts w:hint="eastAsia" w:ascii="宋体" w:hAnsi="宋体"/>
        </w:rPr>
        <w:t>NY/T 1344</w:t>
      </w:r>
      <w:r>
        <w:rPr>
          <w:rFonts w:ascii="宋体" w:hAnsi="宋体"/>
        </w:rPr>
        <w:t xml:space="preserve"> </w:t>
      </w:r>
      <w:r>
        <w:rPr>
          <w:rFonts w:hint="eastAsia" w:ascii="宋体" w:hAnsi="宋体"/>
        </w:rPr>
        <w:t>山羊用精饲料</w:t>
      </w:r>
    </w:p>
    <w:p>
      <w:pPr>
        <w:spacing w:line="360" w:lineRule="auto"/>
        <w:ind w:firstLine="412"/>
        <w:rPr>
          <w:rFonts w:ascii="宋体" w:hAnsi="宋体"/>
        </w:rPr>
      </w:pPr>
      <w:r>
        <w:rPr>
          <w:rFonts w:hint="eastAsia" w:ascii="宋体" w:hAnsi="宋体"/>
        </w:rPr>
        <w:t>NY/T 2169 种羊场建设</w:t>
      </w:r>
      <w:r>
        <w:rPr>
          <w:rFonts w:hint="eastAsia" w:ascii="宋体" w:hAnsi="宋体"/>
          <w:lang w:eastAsia="zh-CN"/>
        </w:rPr>
        <w:t>文件</w:t>
      </w:r>
    </w:p>
    <w:p>
      <w:pPr>
        <w:spacing w:line="360" w:lineRule="auto"/>
        <w:ind w:firstLine="412"/>
        <w:rPr>
          <w:rFonts w:ascii="宋体" w:hAnsi="宋体"/>
        </w:rPr>
      </w:pPr>
      <w:r>
        <w:rPr>
          <w:rFonts w:hint="eastAsia" w:ascii="宋体" w:hAnsi="宋体"/>
        </w:rPr>
        <w:t>NY/T 5027 无公害食品 畜禽饮用水水质</w:t>
      </w:r>
    </w:p>
    <w:p>
      <w:pPr>
        <w:pStyle w:val="15"/>
      </w:pPr>
      <w:r>
        <w:rPr>
          <w:rFonts w:hint="eastAsia"/>
        </w:rPr>
        <w:t>术语与定义</w:t>
      </w:r>
    </w:p>
    <w:p>
      <w:pPr>
        <w:pStyle w:val="10"/>
      </w:pPr>
      <w:r>
        <w:rPr>
          <w:rFonts w:hint="eastAsia"/>
        </w:rPr>
        <w:t>以下术语与定义适用于本文件。</w:t>
      </w:r>
    </w:p>
    <w:p>
      <w:pPr>
        <w:pStyle w:val="12"/>
      </w:pPr>
    </w:p>
    <w:p>
      <w:pPr>
        <w:pStyle w:val="12"/>
        <w:numPr>
          <w:numId w:val="0"/>
        </w:numPr>
        <w:ind w:leftChars="0" w:firstLine="420" w:firstLineChars="200"/>
      </w:pPr>
      <w:r>
        <w:rPr>
          <w:rFonts w:hint="eastAsia"/>
        </w:rPr>
        <w:t>断奶 weaning</w:t>
      </w:r>
    </w:p>
    <w:p>
      <w:pPr>
        <w:pStyle w:val="10"/>
      </w:pPr>
      <w:r>
        <w:rPr>
          <w:rFonts w:hint="eastAsia"/>
        </w:rPr>
        <w:t>羔羊自主采食饲料、饲草、饮水，不再以母羊乳汁为营养来源。</w:t>
      </w:r>
    </w:p>
    <w:p>
      <w:pPr>
        <w:pStyle w:val="12"/>
      </w:pPr>
    </w:p>
    <w:p>
      <w:pPr>
        <w:pStyle w:val="12"/>
        <w:numPr>
          <w:numId w:val="0"/>
        </w:numPr>
        <w:ind w:leftChars="0" w:firstLine="420" w:firstLineChars="200"/>
      </w:pPr>
      <w:r>
        <w:rPr>
          <w:rFonts w:hint="eastAsia"/>
        </w:rPr>
        <w:t xml:space="preserve">去势 </w:t>
      </w:r>
      <w:r>
        <w:t>c</w:t>
      </w:r>
      <w:r>
        <w:rPr>
          <w:rFonts w:hint="eastAsia"/>
        </w:rPr>
        <w:t>astration</w:t>
      </w:r>
    </w:p>
    <w:p>
      <w:pPr>
        <w:pStyle w:val="10"/>
        <w:ind w:firstLine="440"/>
      </w:pPr>
      <w:r>
        <w:rPr>
          <w:rFonts w:ascii="Arial" w:hAnsi="Arial" w:cs="Arial"/>
          <w:color w:val="333333"/>
          <w:sz w:val="22"/>
          <w:szCs w:val="22"/>
          <w:shd w:val="clear" w:color="auto" w:fill="FFFFFF"/>
        </w:rPr>
        <w:t>将动物以外来方式除去生殖系统或使其丧失性功能</w:t>
      </w:r>
      <w:r>
        <w:rPr>
          <w:rFonts w:hint="eastAsia" w:ascii="Arial" w:hAnsi="Arial" w:cs="Arial"/>
          <w:color w:val="333333"/>
          <w:sz w:val="22"/>
          <w:szCs w:val="22"/>
          <w:shd w:val="clear" w:color="auto" w:fill="FFFFFF"/>
        </w:rPr>
        <w:t>。</w:t>
      </w:r>
    </w:p>
    <w:p>
      <w:pPr>
        <w:pStyle w:val="12"/>
      </w:pPr>
    </w:p>
    <w:p>
      <w:pPr>
        <w:pStyle w:val="12"/>
        <w:numPr>
          <w:numId w:val="0"/>
        </w:numPr>
        <w:ind w:leftChars="0" w:firstLine="420" w:firstLineChars="200"/>
      </w:pPr>
      <w:r>
        <w:rPr>
          <w:rFonts w:hint="eastAsia"/>
        </w:rPr>
        <w:t xml:space="preserve">羯羊 </w:t>
      </w:r>
      <w:r>
        <w:t>wether</w:t>
      </w:r>
    </w:p>
    <w:p>
      <w:pPr>
        <w:pStyle w:val="10"/>
      </w:pPr>
      <w:r>
        <w:rPr>
          <w:rFonts w:hint="eastAsia"/>
        </w:rPr>
        <w:t>去势后的公羊。</w:t>
      </w:r>
    </w:p>
    <w:p>
      <w:pPr>
        <w:pStyle w:val="12"/>
      </w:pPr>
    </w:p>
    <w:p>
      <w:pPr>
        <w:pStyle w:val="12"/>
        <w:numPr>
          <w:numId w:val="0"/>
        </w:numPr>
        <w:ind w:leftChars="0" w:firstLine="420" w:firstLineChars="200"/>
      </w:pPr>
      <w:r>
        <w:rPr>
          <w:rFonts w:hint="eastAsia"/>
        </w:rPr>
        <w:t>羔羊育肥 lamb</w:t>
      </w:r>
      <w:r>
        <w:t xml:space="preserve"> </w:t>
      </w:r>
      <w:r>
        <w:rPr>
          <w:rFonts w:hint="eastAsia"/>
        </w:rPr>
        <w:t>fattening</w:t>
      </w:r>
    </w:p>
    <w:p>
      <w:pPr>
        <w:pStyle w:val="10"/>
      </w:pPr>
      <w:r>
        <w:rPr>
          <w:rFonts w:hint="eastAsia"/>
        </w:rPr>
        <w:t>在羔羊增重速度最快的生长时期，通过科学饲养管理，使羔羊在短时间内达到预期出栏体重的方法。</w:t>
      </w:r>
    </w:p>
    <w:p>
      <w:pPr>
        <w:pStyle w:val="12"/>
      </w:pPr>
    </w:p>
    <w:p>
      <w:pPr>
        <w:pStyle w:val="12"/>
        <w:numPr>
          <w:numId w:val="0"/>
        </w:numPr>
        <w:ind w:leftChars="0" w:firstLine="420" w:firstLineChars="200"/>
      </w:pPr>
      <w:r>
        <w:rPr>
          <w:rFonts w:hint="eastAsia"/>
        </w:rPr>
        <w:t>舍饲育肥 feedlot</w:t>
      </w:r>
      <w:r>
        <w:t xml:space="preserve"> </w:t>
      </w:r>
      <w:r>
        <w:rPr>
          <w:rFonts w:hint="eastAsia"/>
        </w:rPr>
        <w:t>fattening</w:t>
      </w:r>
    </w:p>
    <w:p>
      <w:pPr>
        <w:pStyle w:val="10"/>
      </w:pPr>
      <w:r>
        <w:rPr>
          <w:rFonts w:hint="eastAsia"/>
        </w:rPr>
        <w:t>将羊群置于圈舍内，依靠人为其提供饲料、饮水以及相关的设施设备的育肥生产方式。</w:t>
      </w:r>
    </w:p>
    <w:p>
      <w:pPr>
        <w:pStyle w:val="15"/>
      </w:pPr>
      <w:r>
        <w:rPr>
          <w:rFonts w:hint="eastAsia"/>
        </w:rPr>
        <w:t>生产管理</w:t>
      </w:r>
    </w:p>
    <w:p>
      <w:pPr>
        <w:pStyle w:val="12"/>
      </w:pPr>
      <w:r>
        <w:rPr>
          <w:rFonts w:hint="eastAsia"/>
        </w:rPr>
        <w:t>养殖环境</w:t>
      </w:r>
    </w:p>
    <w:p>
      <w:pPr>
        <w:pStyle w:val="16"/>
        <w:spacing w:before="156" w:after="156"/>
        <w:ind w:left="0"/>
        <w:rPr>
          <w:rFonts w:ascii="宋体" w:hAnsi="宋体" w:eastAsia="宋体"/>
        </w:rPr>
      </w:pPr>
      <w:r>
        <w:rPr>
          <w:rFonts w:hint="eastAsia" w:ascii="宋体" w:hAnsi="宋体" w:eastAsia="宋体"/>
        </w:rPr>
        <w:t>养殖设施建设应符合国家相关法律法规和</w:t>
      </w:r>
      <w:r>
        <w:rPr>
          <w:rFonts w:hint="eastAsia" w:ascii="宋体" w:hAnsi="宋体" w:eastAsia="宋体"/>
          <w:lang w:eastAsia="zh-CN"/>
        </w:rPr>
        <w:t>文件</w:t>
      </w:r>
      <w:r>
        <w:rPr>
          <w:rFonts w:hint="eastAsia" w:ascii="宋体" w:hAnsi="宋体" w:eastAsia="宋体"/>
        </w:rPr>
        <w:t>NY/T 2169中场址选择、场区布局、工艺和设备、建筑和结构、配套工程、防疫设施和粪污无害化处理等相关要求，不可在禁养区建场。</w:t>
      </w:r>
    </w:p>
    <w:p>
      <w:pPr>
        <w:pStyle w:val="16"/>
        <w:spacing w:before="156" w:after="156"/>
        <w:ind w:left="0"/>
        <w:rPr>
          <w:rFonts w:ascii="宋体" w:hAnsi="宋体" w:eastAsia="宋体"/>
        </w:rPr>
      </w:pPr>
      <w:r>
        <w:rPr>
          <w:rFonts w:hint="eastAsia" w:ascii="宋体" w:hAnsi="宋体" w:eastAsia="宋体"/>
        </w:rPr>
        <w:t>应为羊提供足够的活动空间，舍内空间应能保证所有羊只同时起卧。</w:t>
      </w:r>
    </w:p>
    <w:p>
      <w:pPr>
        <w:pStyle w:val="16"/>
        <w:spacing w:before="156" w:after="156"/>
        <w:ind w:left="0"/>
        <w:rPr>
          <w:rFonts w:ascii="宋体" w:hAnsi="宋体" w:eastAsia="宋体"/>
        </w:rPr>
      </w:pPr>
      <w:r>
        <w:rPr>
          <w:rFonts w:hint="eastAsia" w:ascii="宋体" w:hAnsi="宋体" w:eastAsia="宋体"/>
        </w:rPr>
        <w:t>养殖环境应符合</w:t>
      </w:r>
      <w:r>
        <w:rPr>
          <w:rFonts w:ascii="宋体" w:hAnsi="宋体" w:eastAsia="宋体"/>
        </w:rPr>
        <w:t>NY/T 388</w:t>
      </w:r>
      <w:r>
        <w:rPr>
          <w:rFonts w:hint="eastAsia" w:ascii="宋体" w:hAnsi="宋体" w:eastAsia="宋体"/>
        </w:rPr>
        <w:t>规定，羊舍应保持清洁、卫生，粪便处理应符合N</w:t>
      </w:r>
      <w:r>
        <w:rPr>
          <w:rFonts w:ascii="宋体" w:hAnsi="宋体"/>
        </w:rPr>
        <w:t>Y/T 1168</w:t>
      </w:r>
      <w:r>
        <w:rPr>
          <w:rFonts w:hint="eastAsia" w:ascii="宋体" w:hAnsi="宋体" w:eastAsia="宋体"/>
        </w:rPr>
        <w:t>的规定。</w:t>
      </w:r>
    </w:p>
    <w:p>
      <w:pPr>
        <w:pStyle w:val="12"/>
      </w:pPr>
      <w:r>
        <w:rPr>
          <w:rFonts w:hint="eastAsia"/>
        </w:rPr>
        <w:t>饲养管理</w:t>
      </w:r>
    </w:p>
    <w:p>
      <w:pPr>
        <w:pStyle w:val="16"/>
        <w:spacing w:before="156" w:after="156"/>
        <w:ind w:left="0"/>
      </w:pPr>
      <w:r>
        <w:rPr>
          <w:rFonts w:hint="eastAsia"/>
        </w:rPr>
        <w:t>羔羊培育</w:t>
      </w:r>
    </w:p>
    <w:p>
      <w:pPr>
        <w:pStyle w:val="19"/>
        <w:spacing w:before="156" w:after="156"/>
        <w:ind w:left="0"/>
        <w:rPr>
          <w:rFonts w:ascii="宋体" w:hAnsi="宋体" w:eastAsia="宋体"/>
        </w:rPr>
      </w:pPr>
      <w:r>
        <w:rPr>
          <w:rFonts w:hint="eastAsia" w:ascii="宋体" w:hAnsi="宋体" w:eastAsia="宋体"/>
        </w:rPr>
        <w:t>母羊分娩后，应做好羔羊护理，及时清理口鼻、断脐带。</w:t>
      </w:r>
    </w:p>
    <w:p>
      <w:pPr>
        <w:pStyle w:val="19"/>
        <w:spacing w:before="156" w:after="156"/>
        <w:ind w:left="0"/>
        <w:rPr>
          <w:rFonts w:ascii="宋体" w:hAnsi="宋体" w:eastAsia="宋体"/>
        </w:rPr>
      </w:pPr>
      <w:r>
        <w:rPr>
          <w:rFonts w:hint="eastAsia" w:ascii="宋体" w:hAnsi="宋体" w:eastAsia="宋体"/>
        </w:rPr>
        <w:t>羔羊出生后应尽快吃到足量的初乳，羔羊不能主动吃到时应及时人工辅助，推荐的羔羊哺乳量见附录A。</w:t>
      </w:r>
    </w:p>
    <w:p>
      <w:pPr>
        <w:pStyle w:val="19"/>
        <w:spacing w:before="156" w:after="156"/>
        <w:ind w:left="0"/>
        <w:rPr>
          <w:rFonts w:ascii="宋体" w:hAnsi="宋体" w:eastAsia="宋体"/>
        </w:rPr>
      </w:pPr>
      <w:r>
        <w:rPr>
          <w:rFonts w:hint="eastAsia" w:ascii="宋体" w:hAnsi="宋体" w:eastAsia="宋体"/>
        </w:rPr>
        <w:t>控制羔羊初生环境的温度，提供优质垫草。温度随日龄增加逐渐降低至常温（羔羊舍温度控制见附录B）。</w:t>
      </w:r>
    </w:p>
    <w:p>
      <w:pPr>
        <w:pStyle w:val="19"/>
        <w:spacing w:before="156" w:after="156"/>
        <w:ind w:left="0"/>
        <w:rPr>
          <w:rFonts w:ascii="宋体" w:hAnsi="宋体" w:eastAsia="宋体"/>
        </w:rPr>
      </w:pPr>
      <w:r>
        <w:rPr>
          <w:rFonts w:hint="eastAsia" w:ascii="宋体" w:hAnsi="宋体" w:eastAsia="宋体"/>
        </w:rPr>
        <w:t>10日龄后开始提供开食料，同时提供优质青干草诱食。同步开始补水，水温以20-25℃为宜。羔羊开食料质量符合NY/T 1344-2007和GB/T 13078-2017、饲草质量符合GB/T 13078-2017，水质符合</w:t>
      </w:r>
      <w:r>
        <w:rPr>
          <w:rFonts w:hint="eastAsia" w:ascii="宋体" w:hAnsi="宋体"/>
        </w:rPr>
        <w:t>NY/T 5027-2008</w:t>
      </w:r>
      <w:r>
        <w:rPr>
          <w:rFonts w:hint="eastAsia" w:ascii="宋体" w:hAnsi="宋体" w:eastAsia="宋体"/>
        </w:rPr>
        <w:t>。</w:t>
      </w:r>
    </w:p>
    <w:p>
      <w:pPr>
        <w:pStyle w:val="19"/>
        <w:spacing w:before="156" w:after="156"/>
        <w:ind w:left="0"/>
        <w:rPr>
          <w:rFonts w:ascii="宋体" w:hAnsi="宋体" w:eastAsia="宋体"/>
        </w:rPr>
      </w:pPr>
      <w:r>
        <w:rPr>
          <w:rFonts w:hint="eastAsia" w:ascii="宋体" w:hAnsi="宋体" w:eastAsia="宋体"/>
        </w:rPr>
        <w:t>做好羔羊的免疫工作，按时接种疫苗，推荐的免疫规程见附录C。</w:t>
      </w:r>
    </w:p>
    <w:p>
      <w:pPr>
        <w:pStyle w:val="19"/>
        <w:spacing w:before="156" w:after="156"/>
        <w:ind w:left="0"/>
        <w:rPr>
          <w:rFonts w:ascii="宋体" w:hAnsi="宋体" w:eastAsia="宋体"/>
        </w:rPr>
      </w:pPr>
      <w:r>
        <w:rPr>
          <w:rFonts w:hint="eastAsia" w:ascii="宋体" w:hAnsi="宋体" w:eastAsia="宋体"/>
        </w:rPr>
        <w:t>羔羊3月龄、体重15kg以上时可以进行断奶。应加强断奶后羔羊的饲养管理，减少应激。</w:t>
      </w:r>
    </w:p>
    <w:p>
      <w:pPr>
        <w:pStyle w:val="16"/>
        <w:spacing w:before="156" w:after="156"/>
        <w:ind w:left="0"/>
      </w:pPr>
      <w:r>
        <w:rPr>
          <w:rFonts w:hint="eastAsia"/>
        </w:rPr>
        <w:t>去势</w:t>
      </w:r>
    </w:p>
    <w:p>
      <w:pPr>
        <w:pStyle w:val="19"/>
        <w:spacing w:before="156" w:after="156"/>
        <w:ind w:left="0"/>
        <w:rPr>
          <w:rFonts w:ascii="宋体" w:hAnsi="宋体" w:eastAsia="宋体"/>
        </w:rPr>
      </w:pPr>
      <w:r>
        <w:rPr>
          <w:rFonts w:hint="eastAsia" w:ascii="宋体" w:hAnsi="宋体" w:eastAsia="宋体"/>
        </w:rPr>
        <w:t>羔羊断奶后，开始进入育肥阶段时应去势。</w:t>
      </w:r>
    </w:p>
    <w:p>
      <w:pPr>
        <w:pStyle w:val="19"/>
        <w:spacing w:before="156" w:after="156"/>
        <w:ind w:left="0"/>
        <w:rPr>
          <w:rFonts w:ascii="宋体" w:hAnsi="宋体" w:eastAsia="宋体"/>
        </w:rPr>
      </w:pPr>
      <w:r>
        <w:rPr>
          <w:rFonts w:hint="eastAsia" w:ascii="宋体" w:hAnsi="宋体" w:eastAsia="宋体"/>
        </w:rPr>
        <w:t>去势操作应由兽医执行，避免伤亡造成损失。去势后应精心护理以使羔羊尽快恢复。</w:t>
      </w:r>
    </w:p>
    <w:p>
      <w:pPr>
        <w:pStyle w:val="19"/>
        <w:spacing w:before="156" w:after="156"/>
        <w:ind w:left="0"/>
        <w:rPr>
          <w:rFonts w:ascii="宋体" w:hAnsi="宋体" w:eastAsia="宋体"/>
        </w:rPr>
      </w:pPr>
      <w:r>
        <w:rPr>
          <w:rFonts w:hint="eastAsia" w:ascii="宋体" w:hAnsi="宋体" w:eastAsia="宋体"/>
        </w:rPr>
        <w:t>去势伤口恢复后，进入育肥阶段。</w:t>
      </w:r>
    </w:p>
    <w:p>
      <w:pPr>
        <w:pStyle w:val="10"/>
      </w:pPr>
    </w:p>
    <w:p>
      <w:pPr>
        <w:pStyle w:val="15"/>
      </w:pPr>
      <w:r>
        <w:rPr>
          <w:rFonts w:hint="eastAsia"/>
        </w:rPr>
        <w:t>饲喂与饮水</w:t>
      </w:r>
    </w:p>
    <w:p>
      <w:pPr>
        <w:pStyle w:val="12"/>
      </w:pPr>
      <w:r>
        <w:rPr>
          <w:rFonts w:hint="eastAsia"/>
        </w:rPr>
        <w:t>基本要求</w:t>
      </w:r>
    </w:p>
    <w:p>
      <w:pPr>
        <w:pStyle w:val="10"/>
        <w:rPr>
          <w:rFonts w:hAnsi="宋体"/>
        </w:rPr>
      </w:pPr>
      <w:r>
        <w:rPr>
          <w:rFonts w:hint="eastAsia"/>
        </w:rPr>
        <w:t>羊的舍饲育肥生产所用饲料应符合国家相关规定和NY/T1344-2007，不得违反法律法规使用添加剂。放牧生产安排不得违反法律法规限定的放牧时间。羊采食的牧草应符合国家相关法律法规的要求。为羊提供的饮水应符合</w:t>
      </w:r>
      <w:r>
        <w:rPr>
          <w:rFonts w:hint="eastAsia" w:hAnsi="宋体"/>
        </w:rPr>
        <w:t>NY/T 5027</w:t>
      </w:r>
      <w:r>
        <w:rPr>
          <w:rFonts w:hint="eastAsia" w:hAnsi="宋体"/>
          <w:lang w:eastAsia="zh-CN"/>
        </w:rPr>
        <w:t>文件</w:t>
      </w:r>
      <w:r>
        <w:rPr>
          <w:rFonts w:hint="eastAsia" w:hAnsi="宋体"/>
        </w:rPr>
        <w:t>的要求。</w:t>
      </w:r>
    </w:p>
    <w:p>
      <w:pPr>
        <w:pStyle w:val="12"/>
      </w:pPr>
      <w:r>
        <w:rPr>
          <w:rFonts w:hint="eastAsia"/>
        </w:rPr>
        <w:t>舍饲育肥</w:t>
      </w:r>
    </w:p>
    <w:p>
      <w:pPr>
        <w:spacing w:line="360" w:lineRule="auto"/>
        <w:ind w:firstLine="412"/>
        <w:rPr>
          <w:rFonts w:ascii="宋体" w:hAnsi="宋体"/>
        </w:rPr>
      </w:pPr>
      <w:r>
        <w:rPr>
          <w:rFonts w:hint="eastAsia" w:ascii="宋体" w:hAnsi="宋体"/>
        </w:rPr>
        <w:t>使用购入饲料时应书面记录供方饲料的原料成分及含量，使用自配料应保留饲料配方及配料单，饲料原料应符合中华人民共和国农业部令第1773号，其来源应可追溯。</w:t>
      </w:r>
    </w:p>
    <w:p>
      <w:pPr>
        <w:pStyle w:val="16"/>
        <w:spacing w:before="156" w:after="156"/>
        <w:ind w:left="0"/>
        <w:rPr>
          <w:rFonts w:ascii="宋体" w:hAnsi="宋体" w:eastAsia="宋体"/>
        </w:rPr>
      </w:pPr>
      <w:r>
        <w:rPr>
          <w:rFonts w:hint="eastAsia" w:ascii="宋体" w:hAnsi="宋体" w:eastAsia="宋体"/>
        </w:rPr>
        <w:t>舍饲育肥前应对羊只分群，将体重相近、性别相同的羔羊分在一群，每个育肥单元40只-60只为宜。</w:t>
      </w:r>
    </w:p>
    <w:p>
      <w:pPr>
        <w:pStyle w:val="16"/>
        <w:spacing w:before="156" w:after="156"/>
        <w:ind w:left="0"/>
        <w:rPr>
          <w:rFonts w:ascii="宋体" w:hAnsi="宋体" w:eastAsia="宋体"/>
        </w:rPr>
      </w:pPr>
      <w:r>
        <w:rPr>
          <w:rFonts w:hint="eastAsia" w:ascii="宋体" w:hAnsi="宋体" w:eastAsia="宋体"/>
        </w:rPr>
        <w:t>育肥前应驱虫。</w:t>
      </w:r>
    </w:p>
    <w:p>
      <w:pPr>
        <w:pStyle w:val="16"/>
        <w:spacing w:before="156" w:after="156"/>
        <w:ind w:left="0"/>
        <w:rPr>
          <w:rFonts w:ascii="宋体" w:hAnsi="宋体" w:eastAsia="宋体"/>
        </w:rPr>
      </w:pPr>
      <w:r>
        <w:rPr>
          <w:rFonts w:hint="eastAsia" w:ascii="宋体" w:hAnsi="宋体" w:eastAsia="宋体"/>
        </w:rPr>
        <w:t>不得使用变质、霉败或被污染的饲草（料），禁止使用动物源性饲料，饲料卫生质量应符合GB/T 13078-2017。</w:t>
      </w:r>
    </w:p>
    <w:p>
      <w:pPr>
        <w:pStyle w:val="16"/>
        <w:spacing w:before="156" w:after="156"/>
        <w:ind w:left="0"/>
        <w:rPr>
          <w:rFonts w:ascii="宋体" w:hAnsi="宋体" w:eastAsia="宋体"/>
        </w:rPr>
      </w:pPr>
      <w:r>
        <w:rPr>
          <w:rFonts w:hint="eastAsia" w:ascii="宋体" w:hAnsi="宋体" w:eastAsia="宋体"/>
        </w:rPr>
        <w:t>根据羊群不同生理阶段提供符合其营养需要的日粮，并且达到维持良好身体状况的需要量，推荐的日粮配方见附录D和附录E。</w:t>
      </w:r>
    </w:p>
    <w:p>
      <w:pPr>
        <w:pStyle w:val="16"/>
        <w:spacing w:before="156" w:after="156"/>
        <w:ind w:left="0"/>
        <w:rPr>
          <w:rFonts w:ascii="宋体" w:hAnsi="宋体" w:eastAsia="宋体"/>
        </w:rPr>
      </w:pPr>
      <w:r>
        <w:rPr>
          <w:rFonts w:hint="eastAsia" w:ascii="宋体" w:hAnsi="宋体" w:eastAsia="宋体"/>
        </w:rPr>
        <w:t>饲粮组成中应有足够的粗纤维供羊反刍，饲粮中粗饲料占60%以上。</w:t>
      </w:r>
    </w:p>
    <w:p>
      <w:pPr>
        <w:pStyle w:val="16"/>
        <w:spacing w:before="156" w:after="156"/>
        <w:ind w:left="0"/>
        <w:rPr>
          <w:rFonts w:ascii="宋体" w:hAnsi="宋体" w:eastAsia="宋体"/>
        </w:rPr>
      </w:pPr>
      <w:r>
        <w:rPr>
          <w:rFonts w:hint="eastAsia" w:ascii="宋体" w:hAnsi="宋体" w:eastAsia="宋体"/>
        </w:rPr>
        <w:t>育肥开始时，添加饲料的量应逐步增加，不可突然改变饲粮组成或饲喂量，如需变更应逐步过渡，过渡期应在7天以上。</w:t>
      </w:r>
    </w:p>
    <w:p>
      <w:pPr>
        <w:pStyle w:val="16"/>
        <w:spacing w:before="156" w:after="156"/>
        <w:ind w:left="0"/>
        <w:rPr>
          <w:rFonts w:ascii="宋体" w:hAnsi="宋体" w:eastAsia="宋体"/>
        </w:rPr>
      </w:pPr>
      <w:r>
        <w:rPr>
          <w:rFonts w:hint="eastAsia" w:ascii="宋体" w:hAnsi="宋体" w:eastAsia="宋体"/>
        </w:rPr>
        <w:t>每日每只羔羊精补料补饲量以0.2kg-0.3kg为宜，应从0.1kg逐渐增加，7</w:t>
      </w:r>
      <w:r>
        <w:rPr>
          <w:rFonts w:ascii="宋体" w:hAnsi="宋体" w:eastAsia="宋体"/>
        </w:rPr>
        <w:t>d</w:t>
      </w:r>
      <w:r>
        <w:rPr>
          <w:rFonts w:hint="eastAsia" w:ascii="宋体" w:hAnsi="宋体" w:eastAsia="宋体"/>
        </w:rPr>
        <w:t>内达到预期补饲量。</w:t>
      </w:r>
    </w:p>
    <w:p>
      <w:pPr>
        <w:pStyle w:val="16"/>
        <w:spacing w:before="156" w:after="156"/>
        <w:ind w:left="0"/>
        <w:rPr>
          <w:rFonts w:ascii="宋体" w:hAnsi="宋体" w:eastAsia="宋体"/>
        </w:rPr>
      </w:pPr>
      <w:r>
        <w:rPr>
          <w:rFonts w:hint="eastAsia" w:ascii="宋体" w:hAnsi="宋体" w:eastAsia="宋体"/>
        </w:rPr>
        <w:t>舍饲育肥采用料槽饲喂方式，每只羊采食位置宽度不小于40cm。</w:t>
      </w:r>
    </w:p>
    <w:p>
      <w:pPr>
        <w:pStyle w:val="16"/>
        <w:spacing w:before="156" w:after="156"/>
        <w:ind w:left="0"/>
        <w:rPr>
          <w:rFonts w:ascii="宋体" w:hAnsi="宋体" w:eastAsia="宋体"/>
        </w:rPr>
      </w:pPr>
      <w:r>
        <w:rPr>
          <w:rFonts w:hint="eastAsia" w:ascii="宋体" w:hAnsi="宋体" w:eastAsia="宋体"/>
        </w:rPr>
        <w:t>饲喂设备的设计、安装和维护应考虑保护饲料不被污染。</w:t>
      </w:r>
    </w:p>
    <w:p>
      <w:pPr>
        <w:pStyle w:val="16"/>
        <w:spacing w:before="156" w:after="156"/>
        <w:ind w:left="0"/>
        <w:rPr>
          <w:rFonts w:ascii="宋体" w:hAnsi="宋体" w:eastAsia="宋体"/>
        </w:rPr>
      </w:pPr>
      <w:r>
        <w:rPr>
          <w:rFonts w:hint="eastAsia" w:ascii="宋体" w:hAnsi="宋体" w:eastAsia="宋体"/>
        </w:rPr>
        <w:t>应采取措施防止饲料贮藏过程中的污染、腐败变质。</w:t>
      </w:r>
    </w:p>
    <w:p>
      <w:pPr>
        <w:pStyle w:val="16"/>
        <w:spacing w:before="156" w:after="156"/>
        <w:ind w:left="0"/>
        <w:rPr>
          <w:rFonts w:ascii="宋体" w:hAnsi="宋体" w:eastAsia="宋体"/>
        </w:rPr>
      </w:pPr>
      <w:r>
        <w:rPr>
          <w:rFonts w:hint="eastAsia" w:ascii="宋体" w:hAnsi="宋体" w:eastAsia="宋体"/>
        </w:rPr>
        <w:t>不得使用非治疗抗生素或激素类物质促进生长，经治疗的羊屠宰上市前应有休药期。</w:t>
      </w:r>
    </w:p>
    <w:p>
      <w:pPr>
        <w:pStyle w:val="16"/>
        <w:spacing w:before="156" w:after="156"/>
        <w:ind w:left="0"/>
        <w:rPr>
          <w:rFonts w:ascii="宋体" w:hAnsi="宋体" w:eastAsia="宋体"/>
        </w:rPr>
      </w:pPr>
      <w:r>
        <w:rPr>
          <w:rFonts w:hint="eastAsia" w:ascii="宋体" w:hAnsi="宋体" w:eastAsia="宋体"/>
        </w:rPr>
        <w:t>一个育肥期，应在育肥单元中选定10只-15只羊作为育肥效果监测羊，每间隔15d或30d称重，依据增重效果调整育肥策略。</w:t>
      </w:r>
    </w:p>
    <w:p>
      <w:pPr>
        <w:pStyle w:val="16"/>
        <w:spacing w:before="156" w:after="156"/>
        <w:ind w:left="0"/>
        <w:rPr>
          <w:rFonts w:ascii="宋体" w:hAnsi="宋体" w:eastAsia="宋体"/>
        </w:rPr>
      </w:pPr>
      <w:r>
        <w:rPr>
          <w:rFonts w:hint="eastAsia" w:ascii="宋体" w:hAnsi="宋体" w:eastAsia="宋体"/>
        </w:rPr>
        <w:t>羔羊8月龄、体重达35kg后出栏。</w:t>
      </w:r>
    </w:p>
    <w:p>
      <w:pPr>
        <w:pStyle w:val="12"/>
      </w:pPr>
      <w:r>
        <w:rPr>
          <w:rFonts w:hint="eastAsia"/>
        </w:rPr>
        <w:t>饮水</w:t>
      </w:r>
    </w:p>
    <w:p>
      <w:pPr>
        <w:pStyle w:val="16"/>
        <w:spacing w:before="156" w:after="156"/>
        <w:ind w:left="0"/>
        <w:rPr>
          <w:rFonts w:ascii="宋体" w:hAnsi="宋体" w:eastAsia="宋体"/>
        </w:rPr>
      </w:pPr>
      <w:r>
        <w:rPr>
          <w:rFonts w:hint="eastAsia" w:ascii="宋体" w:hAnsi="宋体" w:eastAsia="宋体"/>
        </w:rPr>
        <w:t>应保证羊的饮水量和水的质量。</w:t>
      </w:r>
    </w:p>
    <w:p>
      <w:pPr>
        <w:pStyle w:val="16"/>
        <w:spacing w:before="156" w:after="156"/>
        <w:ind w:left="0"/>
        <w:rPr>
          <w:rFonts w:ascii="宋体" w:hAnsi="宋体" w:eastAsia="宋体"/>
        </w:rPr>
      </w:pPr>
      <w:r>
        <w:rPr>
          <w:rFonts w:hint="eastAsia" w:ascii="宋体" w:hAnsi="宋体" w:eastAsia="宋体"/>
        </w:rPr>
        <w:t>舍内最多20只羊配备一个饮水位置。</w:t>
      </w:r>
    </w:p>
    <w:p>
      <w:pPr>
        <w:pStyle w:val="16"/>
        <w:spacing w:before="156" w:after="156"/>
        <w:ind w:left="0"/>
        <w:rPr>
          <w:rFonts w:ascii="宋体" w:hAnsi="宋体" w:eastAsia="宋体"/>
        </w:rPr>
      </w:pPr>
      <w:r>
        <w:rPr>
          <w:rFonts w:hint="eastAsia" w:ascii="宋体" w:hAnsi="宋体" w:eastAsia="宋体"/>
        </w:rPr>
        <w:t>羊可自由饮水，冬季要防止水槽结冰。</w:t>
      </w:r>
    </w:p>
    <w:p>
      <w:pPr>
        <w:pStyle w:val="16"/>
        <w:spacing w:before="156" w:after="156"/>
        <w:ind w:left="0"/>
        <w:rPr>
          <w:rFonts w:ascii="宋体" w:hAnsi="宋体" w:eastAsia="宋体"/>
        </w:rPr>
      </w:pPr>
      <w:r>
        <w:rPr>
          <w:rFonts w:hint="eastAsia" w:ascii="宋体" w:hAnsi="宋体" w:eastAsia="宋体"/>
        </w:rPr>
        <w:t>水槽等应保持清洁，并定期维护和消毒。</w:t>
      </w:r>
    </w:p>
    <w:p>
      <w:pPr>
        <w:pStyle w:val="12"/>
      </w:pPr>
      <w:r>
        <w:rPr>
          <w:rFonts w:hint="eastAsia"/>
        </w:rPr>
        <w:t>补盐</w:t>
      </w:r>
    </w:p>
    <w:p>
      <w:pPr>
        <w:pStyle w:val="16"/>
        <w:spacing w:before="156" w:after="156"/>
        <w:ind w:left="0"/>
        <w:rPr>
          <w:rFonts w:ascii="宋体" w:hAnsi="宋体" w:eastAsia="宋体"/>
        </w:rPr>
      </w:pPr>
      <w:r>
        <w:rPr>
          <w:rFonts w:hint="eastAsia" w:ascii="宋体" w:hAnsi="宋体" w:eastAsia="宋体"/>
        </w:rPr>
        <w:t>使用符合营养舔砖，舔砖悬挂于羊活动场、料槽和休息场所等。</w:t>
      </w:r>
    </w:p>
    <w:p>
      <w:pPr>
        <w:pStyle w:val="16"/>
        <w:spacing w:before="156" w:after="156"/>
        <w:ind w:left="0"/>
        <w:rPr>
          <w:rFonts w:ascii="宋体" w:hAnsi="宋体" w:eastAsia="宋体"/>
        </w:rPr>
      </w:pPr>
      <w:r>
        <w:rPr>
          <w:rFonts w:hint="eastAsia" w:ascii="宋体" w:hAnsi="宋体" w:eastAsia="宋体"/>
        </w:rPr>
        <w:t>每日补盐量5-10g。</w:t>
      </w:r>
    </w:p>
    <w:p>
      <w:pPr>
        <w:pStyle w:val="15"/>
      </w:pPr>
      <w:r>
        <w:rPr>
          <w:rFonts w:hint="eastAsia"/>
        </w:rPr>
        <w:t>记录</w:t>
      </w:r>
    </w:p>
    <w:p>
      <w:pPr>
        <w:pStyle w:val="12"/>
        <w:rPr>
          <w:rFonts w:ascii="宋体" w:hAnsi="宋体" w:eastAsia="宋体"/>
        </w:rPr>
      </w:pPr>
      <w:r>
        <w:rPr>
          <w:rFonts w:hint="eastAsia" w:ascii="宋体" w:hAnsi="宋体" w:eastAsia="宋体"/>
        </w:rPr>
        <w:t>按照《畜禽标识和养殖档案管理办法》规定做好生产记录，包括饲（草）料原料、饲喂量、疾病、治疗、免疫等信息。</w:t>
      </w:r>
    </w:p>
    <w:p>
      <w:pPr>
        <w:pStyle w:val="12"/>
        <w:rPr>
          <w:rFonts w:ascii="宋体" w:hAnsi="宋体" w:eastAsia="宋体"/>
        </w:rPr>
      </w:pPr>
      <w:r>
        <w:rPr>
          <w:rFonts w:hint="eastAsia" w:ascii="宋体" w:hAnsi="宋体" w:eastAsia="宋体"/>
        </w:rPr>
        <w:t>建立档案管理制度，由专人负责保管、查询与使用。</w:t>
      </w:r>
    </w:p>
    <w:p>
      <w:pPr>
        <w:pStyle w:val="35"/>
      </w:pPr>
    </w:p>
    <w:p>
      <w:pPr>
        <w:pStyle w:val="30"/>
      </w:pPr>
    </w:p>
    <w:p>
      <w:pPr>
        <w:pStyle w:val="29"/>
      </w:pPr>
      <w:r>
        <w:br w:type="textWrapping"/>
      </w:r>
      <w:r>
        <w:rPr>
          <w:rFonts w:hint="eastAsia"/>
        </w:rPr>
        <w:t>（资料性）</w:t>
      </w:r>
      <w:r>
        <w:br w:type="textWrapping"/>
      </w:r>
      <w:r>
        <w:rPr>
          <w:rFonts w:hint="eastAsia"/>
        </w:rPr>
        <w:t>羔羊培育方法推荐表</w:t>
      </w:r>
    </w:p>
    <w:tbl>
      <w:tblPr>
        <w:tblStyle w:val="9"/>
        <w:tblW w:w="9178" w:type="dxa"/>
        <w:jc w:val="center"/>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5"/>
        <w:gridCol w:w="2161"/>
        <w:gridCol w:w="2008"/>
        <w:gridCol w:w="1676"/>
        <w:gridCol w:w="19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7"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日龄</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全天量哺乳量（g/d）</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开食料（kg/d）</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优质干草</w:t>
            </w:r>
          </w:p>
        </w:tc>
        <w:tc>
          <w:tcPr>
            <w:tcW w:w="191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5"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0-10</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800-880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Calibri" w:hAnsi="Calibri" w:cs="Mongolian Baiti"/>
              </w:rPr>
              <w:t>-</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Calibri" w:hAnsi="Calibri" w:cs="Mongolian Baiti"/>
              </w:rPr>
              <w:t>-</w:t>
            </w:r>
          </w:p>
        </w:tc>
        <w:tc>
          <w:tcPr>
            <w:tcW w:w="191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Calibri" w:hAnsi="Calibri" w:cs="Mongolian Baiti"/>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6"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10-35</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800-1200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10</w:t>
            </w:r>
            <w:r>
              <w:rPr>
                <w:rFonts w:hint="eastAsia" w:ascii="宋体"/>
              </w:rPr>
              <w:t>天开始补料</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Calibri" w:hAnsi="Calibri" w:cs="Mongolian Baiti"/>
              </w:rPr>
              <w:t>-</w:t>
            </w:r>
          </w:p>
        </w:tc>
        <w:tc>
          <w:tcPr>
            <w:tcW w:w="1918" w:type="dxa"/>
            <w:vMerge w:val="restart"/>
            <w:tcBorders>
              <w:top w:val="single" w:color="auto" w:sz="4" w:space="0"/>
              <w:left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14</w:t>
            </w:r>
            <w:r>
              <w:rPr>
                <w:rFonts w:hint="eastAsia" w:ascii="宋体"/>
              </w:rPr>
              <w:t>天开始补水、温开水</w:t>
            </w:r>
            <w:r>
              <w:rPr>
                <w:rFonts w:ascii="宋体"/>
              </w:rPr>
              <w:t>20-25</w:t>
            </w:r>
            <w:r>
              <w:rPr>
                <w:rFonts w:hint="eastAsia" w:asci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9"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35-42</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1200-1400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918" w:type="dxa"/>
            <w:vMerge w:val="continue"/>
            <w:tcBorders>
              <w:left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42-48</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800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918" w:type="dxa"/>
            <w:vMerge w:val="continue"/>
            <w:tcBorders>
              <w:left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48-54</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500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918" w:type="dxa"/>
            <w:vMerge w:val="continue"/>
            <w:tcBorders>
              <w:left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54-60</w:t>
            </w:r>
          </w:p>
        </w:tc>
        <w:tc>
          <w:tcPr>
            <w:tcW w:w="2161"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300</w:t>
            </w:r>
          </w:p>
        </w:tc>
        <w:tc>
          <w:tcPr>
            <w:tcW w:w="200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0.15kg/</w:t>
            </w:r>
            <w:r>
              <w:rPr>
                <w:rFonts w:hint="eastAsia" w:ascii="宋体"/>
              </w:rPr>
              <w:t>天</w:t>
            </w:r>
          </w:p>
        </w:tc>
        <w:tc>
          <w:tcPr>
            <w:tcW w:w="1676"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hint="eastAsia" w:ascii="宋体"/>
              </w:rPr>
              <w:t>自由采食</w:t>
            </w:r>
          </w:p>
        </w:tc>
        <w:tc>
          <w:tcPr>
            <w:tcW w:w="1918" w:type="dxa"/>
            <w:vMerge w:val="continue"/>
            <w:tcBorders>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9"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Calibri" w:hAnsi="Calibri" w:cs="Mongolian Baiti"/>
              </w:rPr>
            </w:pPr>
            <w:r>
              <w:rPr>
                <w:rFonts w:ascii="宋体"/>
              </w:rPr>
              <w:t>60-90</w:t>
            </w:r>
          </w:p>
        </w:tc>
        <w:tc>
          <w:tcPr>
            <w:tcW w:w="5845" w:type="dxa"/>
            <w:gridSpan w:val="3"/>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Calibri" w:hAnsi="Calibri" w:cs="Mongolian Baiti"/>
              </w:rPr>
            </w:pPr>
            <w:r>
              <w:rPr>
                <w:rFonts w:hint="eastAsia" w:ascii="宋体"/>
              </w:rPr>
              <w:t>自由采食优质干草，每日补饲羔羊开食料</w:t>
            </w:r>
            <w:r>
              <w:rPr>
                <w:rFonts w:ascii="宋体"/>
              </w:rPr>
              <w:t>150</w:t>
            </w:r>
            <w:r>
              <w:rPr>
                <w:rFonts w:hint="eastAsia" w:ascii="宋体"/>
              </w:rPr>
              <w:t>g</w:t>
            </w:r>
            <w:r>
              <w:rPr>
                <w:rFonts w:ascii="宋体"/>
              </w:rPr>
              <w:t>/</w:t>
            </w:r>
            <w:r>
              <w:rPr>
                <w:rFonts w:hint="eastAsia" w:ascii="宋体"/>
              </w:rPr>
              <w:t>天以上</w:t>
            </w:r>
          </w:p>
        </w:tc>
        <w:tc>
          <w:tcPr>
            <w:tcW w:w="1918"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ind w:firstLine="420" w:firstLineChars="200"/>
              <w:jc w:val="center"/>
              <w:rPr>
                <w:rFonts w:ascii="Calibri" w:hAnsi="Calibri" w:cs="Mongolian Baiti"/>
              </w:rPr>
            </w:pPr>
          </w:p>
          <w:p>
            <w:pPr>
              <w:pStyle w:val="35"/>
            </w:pPr>
          </w:p>
          <w:p>
            <w:pPr>
              <w:pStyle w:val="35"/>
            </w:pPr>
          </w:p>
          <w:p>
            <w:pPr>
              <w:pStyle w:val="30"/>
            </w:pPr>
          </w:p>
        </w:tc>
      </w:tr>
    </w:tbl>
    <w:p>
      <w:pPr>
        <w:pStyle w:val="10"/>
        <w:ind w:firstLine="0" w:firstLineChars="0"/>
      </w:pPr>
    </w:p>
    <w:p>
      <w:pPr>
        <w:pStyle w:val="10"/>
        <w:ind w:firstLine="0" w:firstLineChars="0"/>
      </w:pPr>
    </w:p>
    <w:p>
      <w:pPr>
        <w:pStyle w:val="35"/>
      </w:pPr>
    </w:p>
    <w:p>
      <w:pPr>
        <w:pStyle w:val="30"/>
      </w:pPr>
    </w:p>
    <w:p>
      <w:pPr>
        <w:pStyle w:val="29"/>
      </w:pPr>
      <w:r>
        <w:br w:type="textWrapping"/>
      </w:r>
      <w:r>
        <w:rPr>
          <w:rFonts w:hint="eastAsia"/>
        </w:rPr>
        <w:t>（资料性）</w:t>
      </w:r>
      <w:r>
        <w:br w:type="textWrapping"/>
      </w:r>
      <w:r>
        <w:rPr>
          <w:rFonts w:hint="eastAsia"/>
        </w:rPr>
        <w:t>推荐的羔羊舍环境卫生指标</w:t>
      </w:r>
    </w:p>
    <w:tbl>
      <w:tblPr>
        <w:tblStyle w:val="9"/>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3"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日龄（天）</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温度（℃）</w:t>
            </w:r>
          </w:p>
        </w:tc>
        <w:tc>
          <w:tcPr>
            <w:tcW w:w="2131"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湿度（%）</w:t>
            </w:r>
          </w:p>
        </w:tc>
        <w:tc>
          <w:tcPr>
            <w:tcW w:w="2131"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NH</w:t>
            </w:r>
            <w:r>
              <w:rPr>
                <w:rFonts w:hint="eastAsia" w:ascii="宋体" w:hAnsi="宋体"/>
                <w:sz w:val="24"/>
                <w:vertAlign w:val="subscript"/>
              </w:rPr>
              <w:t>3</w:t>
            </w:r>
            <w:r>
              <w:rPr>
                <w:rFonts w:hint="eastAsia" w:ascii="宋体" w:hAnsi="宋体"/>
                <w:sz w:val="24"/>
              </w:rPr>
              <w:t>（ppm）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3"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0-5</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22-25</w:t>
            </w:r>
          </w:p>
        </w:tc>
        <w:tc>
          <w:tcPr>
            <w:tcW w:w="2131" w:type="dxa"/>
            <w:vMerge w:val="restart"/>
            <w:tcBorders>
              <w:top w:val="nil"/>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30-50</w:t>
            </w:r>
          </w:p>
        </w:tc>
        <w:tc>
          <w:tcPr>
            <w:tcW w:w="2131" w:type="dxa"/>
            <w:vMerge w:val="restart"/>
            <w:tcBorders>
              <w:top w:val="nil"/>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5-15</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18-20</w:t>
            </w: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5"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15-35</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15-18</w:t>
            </w: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7"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35-60</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12-15</w:t>
            </w: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7" w:hRule="atLeast"/>
          <w:jc w:val="center"/>
        </w:trPr>
        <w:tc>
          <w:tcPr>
            <w:tcW w:w="2130" w:type="dxa"/>
            <w:tcBorders>
              <w:top w:val="single" w:color="auto" w:sz="4" w:space="0"/>
              <w:left w:val="single" w:color="auto" w:sz="4" w:space="0"/>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60-90</w:t>
            </w:r>
          </w:p>
        </w:tc>
        <w:tc>
          <w:tcPr>
            <w:tcW w:w="2130" w:type="dxa"/>
            <w:tcBorders>
              <w:top w:val="single" w:color="auto" w:sz="4" w:space="0"/>
              <w:left w:val="nil"/>
              <w:bottom w:val="single" w:color="auto" w:sz="4" w:space="0"/>
              <w:right w:val="single" w:color="auto" w:sz="4" w:space="0"/>
            </w:tcBorders>
            <w:vAlign w:val="center"/>
          </w:tcPr>
          <w:p>
            <w:pPr>
              <w:tabs>
                <w:tab w:val="center" w:pos="4201"/>
                <w:tab w:val="right" w:leader="dot" w:pos="9298"/>
              </w:tabs>
              <w:autoSpaceDE w:val="0"/>
              <w:autoSpaceDN w:val="0"/>
              <w:jc w:val="center"/>
              <w:rPr>
                <w:rFonts w:ascii="宋体" w:hAnsi="宋体"/>
                <w:sz w:val="24"/>
              </w:rPr>
            </w:pPr>
            <w:r>
              <w:rPr>
                <w:rFonts w:hint="eastAsia" w:ascii="宋体" w:hAnsi="宋体"/>
                <w:sz w:val="24"/>
              </w:rPr>
              <w:t>＞1</w:t>
            </w:r>
            <w:r>
              <w:rPr>
                <w:rFonts w:ascii="宋体" w:hAnsi="宋体"/>
                <w:sz w:val="24"/>
              </w:rPr>
              <w:t>0</w:t>
            </w: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c>
          <w:tcPr>
            <w:tcW w:w="2131" w:type="dxa"/>
            <w:vMerge w:val="continue"/>
            <w:tcBorders>
              <w:top w:val="nil"/>
              <w:left w:val="nil"/>
              <w:bottom w:val="single" w:color="auto" w:sz="4" w:space="0"/>
              <w:right w:val="single" w:color="auto" w:sz="4" w:space="0"/>
            </w:tcBorders>
            <w:vAlign w:val="center"/>
          </w:tcPr>
          <w:p>
            <w:pPr>
              <w:widowControl/>
              <w:tabs>
                <w:tab w:val="center" w:pos="4201"/>
                <w:tab w:val="right" w:leader="dot" w:pos="9298"/>
              </w:tabs>
              <w:autoSpaceDE w:val="0"/>
              <w:autoSpaceDN w:val="0"/>
              <w:ind w:firstLine="480" w:firstLineChars="200"/>
              <w:jc w:val="left"/>
              <w:rPr>
                <w:rFonts w:ascii="宋体" w:hAnsi="宋体"/>
                <w:sz w:val="24"/>
              </w:rPr>
            </w:pPr>
          </w:p>
        </w:tc>
      </w:tr>
    </w:tbl>
    <w:p>
      <w:pPr>
        <w:pStyle w:val="10"/>
        <w:ind w:firstLine="0" w:firstLineChars="0"/>
      </w:pPr>
    </w:p>
    <w:p>
      <w:pPr>
        <w:pStyle w:val="35"/>
      </w:pPr>
    </w:p>
    <w:p>
      <w:pPr>
        <w:pStyle w:val="30"/>
      </w:pPr>
    </w:p>
    <w:p>
      <w:pPr>
        <w:pStyle w:val="29"/>
      </w:pPr>
      <w:r>
        <w:br w:type="textWrapping"/>
      </w:r>
      <w:r>
        <w:rPr>
          <w:rFonts w:hint="eastAsia"/>
        </w:rPr>
        <w:t>（资料性）</w:t>
      </w:r>
      <w:r>
        <w:br w:type="textWrapping"/>
      </w:r>
      <w:r>
        <w:rPr>
          <w:rFonts w:hint="eastAsia"/>
        </w:rPr>
        <w:t>推荐的羔羊免疫程序</w:t>
      </w:r>
    </w:p>
    <w:tbl>
      <w:tblPr>
        <w:tblStyle w:val="9"/>
        <w:tblW w:w="932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54"/>
        <w:gridCol w:w="7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3"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免疫、保健内容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7"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1-7日龄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出生后断脐带，保留3厘米。并用5%碘酊浸泡消毒</w:t>
            </w:r>
          </w:p>
          <w:p>
            <w:pPr>
              <w:snapToGrid w:val="0"/>
              <w:spacing w:line="276" w:lineRule="auto"/>
              <w:jc w:val="center"/>
              <w:rPr>
                <w:rFonts w:ascii="宋体" w:hAnsi="宋体" w:cs="仿宋"/>
                <w:spacing w:val="6"/>
                <w:szCs w:val="21"/>
              </w:rPr>
            </w:pPr>
            <w:r>
              <w:rPr>
                <w:rFonts w:hint="eastAsia" w:ascii="宋体" w:hAnsi="宋体" w:cs="仿宋"/>
                <w:szCs w:val="21"/>
              </w:rPr>
              <w:t>肌肉注射亚硒酸钠1ml/只。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7"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7-10日龄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有角羔羊苛性钠去角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18-20日龄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三联四防免疫，肌肉注射1ml/只。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2"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33-35日龄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传染性胸膜肺炎免疫，肌肉注射3ml/只。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8"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48-50日龄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小反刍兽免疫，肌肉注射1ml/只。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65-67日龄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羊痘免疫，皮内注射1ml/只。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1"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90日龄</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口蹄疫免疫，肌肉注射1ml/只。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2" w:hRule="atLeast"/>
          <w:jc w:val="center"/>
        </w:trPr>
        <w:tc>
          <w:tcPr>
            <w:tcW w:w="1854"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90日龄后</w:t>
            </w:r>
          </w:p>
        </w:tc>
        <w:tc>
          <w:tcPr>
            <w:tcW w:w="7467"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jc w:val="center"/>
              <w:rPr>
                <w:rFonts w:ascii="宋体" w:hAnsi="宋体" w:cs="仿宋"/>
                <w:spacing w:val="6"/>
                <w:szCs w:val="21"/>
              </w:rPr>
            </w:pPr>
            <w:r>
              <w:rPr>
                <w:rFonts w:hint="eastAsia" w:ascii="宋体" w:hAnsi="宋体" w:cs="仿宋"/>
                <w:szCs w:val="21"/>
              </w:rPr>
              <w:t>驱虫，伊维菌素皮下注射1ml/只。</w:t>
            </w:r>
          </w:p>
        </w:tc>
      </w:tr>
    </w:tbl>
    <w:p>
      <w:pPr>
        <w:pStyle w:val="10"/>
      </w:pPr>
    </w:p>
    <w:p>
      <w:pPr>
        <w:pStyle w:val="35"/>
      </w:pPr>
    </w:p>
    <w:p>
      <w:pPr>
        <w:pStyle w:val="30"/>
      </w:pPr>
    </w:p>
    <w:p>
      <w:pPr>
        <w:pStyle w:val="29"/>
      </w:pPr>
      <w:r>
        <w:br w:type="textWrapping"/>
      </w:r>
      <w:r>
        <w:rPr>
          <w:rFonts w:hint="eastAsia"/>
        </w:rPr>
        <w:t>（资料性）</w:t>
      </w:r>
      <w:r>
        <w:br w:type="textWrapping"/>
      </w:r>
      <w:r>
        <w:rPr>
          <w:rFonts w:hint="eastAsia"/>
        </w:rPr>
        <w:t>内蒙古白绒山羊羔羊育肥推荐饲料配方（前期）</w:t>
      </w:r>
    </w:p>
    <w:tbl>
      <w:tblPr>
        <w:tblStyle w:val="9"/>
        <w:tblW w:w="61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0"/>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原料</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玉米</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476.15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甘蔗糖蜜</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豆粕</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DDGS</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石粉</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盐</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碳酸氢钠</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预混料</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向日葵壳</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棉粕</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菜粕</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尿素</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小麦麸(麸皮)</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1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总批量</w:t>
            </w:r>
          </w:p>
        </w:tc>
        <w:tc>
          <w:tcPr>
            <w:tcW w:w="2965" w:type="dxa"/>
            <w:tcMar>
              <w:top w:w="15" w:type="dxa"/>
              <w:left w:w="15" w:type="dxa"/>
              <w:bottom w:w="15" w:type="dxa"/>
              <w:right w:w="15" w:type="dxa"/>
            </w:tcMar>
            <w:vAlign w:val="bottom"/>
          </w:tcPr>
          <w:p>
            <w:pPr>
              <w:widowControl/>
              <w:jc w:val="center"/>
              <w:rPr>
                <w:rFonts w:ascii="宋体" w:hAnsi="宋体" w:cs="宋体"/>
                <w:kern w:val="0"/>
                <w:szCs w:val="21"/>
              </w:rPr>
            </w:pPr>
            <w:r>
              <w:rPr>
                <w:rFonts w:hint="eastAsia" w:ascii="宋体" w:hAnsi="宋体" w:cs="宋体"/>
                <w:kern w:val="0"/>
                <w:szCs w:val="21"/>
              </w:rPr>
              <w:t>1000</w:t>
            </w:r>
          </w:p>
        </w:tc>
      </w:tr>
    </w:tbl>
    <w:p>
      <w:pPr>
        <w:pStyle w:val="10"/>
      </w:pPr>
    </w:p>
    <w:p>
      <w:pPr>
        <w:pStyle w:val="10"/>
        <w:jc w:val="center"/>
      </w:pPr>
    </w:p>
    <w:p>
      <w:pPr>
        <w:pStyle w:val="35"/>
      </w:pPr>
    </w:p>
    <w:p>
      <w:pPr>
        <w:pStyle w:val="30"/>
      </w:pPr>
    </w:p>
    <w:p>
      <w:pPr>
        <w:pStyle w:val="29"/>
      </w:pPr>
      <w:r>
        <w:br w:type="textWrapping"/>
      </w:r>
      <w:r>
        <w:rPr>
          <w:rFonts w:hint="eastAsia"/>
        </w:rPr>
        <w:t>（资料性</w:t>
      </w:r>
      <w:bookmarkStart w:id="20" w:name="_GoBack"/>
      <w:bookmarkEnd w:id="20"/>
      <w:r>
        <w:rPr>
          <w:rFonts w:hint="eastAsia"/>
        </w:rPr>
        <w:t>）</w:t>
      </w:r>
      <w:r>
        <w:br w:type="textWrapping"/>
      </w:r>
      <w:r>
        <w:rPr>
          <w:rFonts w:hint="eastAsia"/>
        </w:rPr>
        <w:t>内蒙古白绒山羊羔羊育肥推荐配方（后期）</w:t>
      </w:r>
    </w:p>
    <w:tbl>
      <w:tblPr>
        <w:tblStyle w:val="9"/>
        <w:tblW w:w="61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5"/>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原料</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玉米</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538.50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甘蔗糖蜜</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豆粕</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氯化铵</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DDGS</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磷酸氢钙</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石粉</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盐</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碳酸氢钠</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甜味剂</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预混料</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向日葵壳</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220.00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过瘤胃脂肪</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255"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总批量</w:t>
            </w:r>
          </w:p>
        </w:tc>
        <w:tc>
          <w:tcPr>
            <w:tcW w:w="2880" w:type="dxa"/>
            <w:tcMar>
              <w:top w:w="15" w:type="dxa"/>
              <w:left w:w="15" w:type="dxa"/>
              <w:bottom w:w="15" w:type="dxa"/>
              <w:right w:w="15" w:type="dxa"/>
            </w:tcMar>
            <w:vAlign w:val="center"/>
          </w:tcPr>
          <w:p>
            <w:pPr>
              <w:widowControl/>
              <w:jc w:val="center"/>
              <w:rPr>
                <w:rFonts w:ascii="宋体" w:hAnsi="宋体" w:cs="宋体"/>
                <w:kern w:val="0"/>
                <w:szCs w:val="21"/>
              </w:rPr>
            </w:pPr>
            <w:r>
              <w:rPr>
                <w:rFonts w:hint="eastAsia" w:ascii="宋体" w:hAnsi="宋体" w:cs="宋体"/>
                <w:kern w:val="0"/>
                <w:szCs w:val="21"/>
              </w:rPr>
              <w:t>1000.00</w:t>
            </w:r>
          </w:p>
        </w:tc>
      </w:tr>
    </w:tbl>
    <w:p>
      <w:pPr>
        <w:pStyle w:val="10"/>
      </w:pPr>
    </w:p>
    <w:p>
      <w:pPr>
        <w:pStyle w:val="45"/>
        <w:framePr/>
      </w:pPr>
      <w:r>
        <w:t>_________________________________</w:t>
      </w:r>
    </w:p>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fldChar w:fldCharType="begin"/>
    </w:r>
    <w:r>
      <w:instrText xml:space="preserve"> PAGE  \* MERGEFORMAT </w:instrText>
    </w:r>
    <w:r>
      <w:fldChar w:fldCharType="separate"/>
    </w:r>
    <w: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6"/>
      <w:suff w:val="nothing"/>
      <w:lvlText w:val="%1.%2.%3　"/>
      <w:lvlJc w:val="left"/>
      <w:pPr>
        <w:ind w:left="1134" w:firstLine="0"/>
      </w:pPr>
      <w:rPr>
        <w:rFonts w:hint="eastAsia" w:ascii="黑体" w:hAnsi="Times New Roman" w:eastAsia="黑体"/>
        <w:b w:val="0"/>
        <w:i w:val="0"/>
        <w:sz w:val="21"/>
      </w:rPr>
    </w:lvl>
    <w:lvl w:ilvl="3" w:tentative="0">
      <w:start w:val="1"/>
      <w:numFmt w:val="decimal"/>
      <w:pStyle w:val="19"/>
      <w:suff w:val="nothing"/>
      <w:lvlText w:val="%1.%2.%3.%4　"/>
      <w:lvlJc w:val="left"/>
      <w:pPr>
        <w:ind w:left="709"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2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35"/>
      <w:suff w:val="space"/>
      <w:lvlText w:val="%1"/>
      <w:lvlJc w:val="left"/>
      <w:pPr>
        <w:ind w:left="623" w:hanging="425"/>
      </w:pPr>
      <w:rPr>
        <w:rFonts w:hint="eastAsia"/>
      </w:rPr>
    </w:lvl>
    <w:lvl w:ilvl="1" w:tentative="0">
      <w:start w:val="1"/>
      <w:numFmt w:val="decimal"/>
      <w:pStyle w:val="3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60B55DC2"/>
    <w:multiLevelType w:val="multilevel"/>
    <w:tmpl w:val="60B55DC2"/>
    <w:lvl w:ilvl="0" w:tentative="0">
      <w:start w:val="1"/>
      <w:numFmt w:val="upperLetter"/>
      <w:pStyle w:val="30"/>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tentative="0">
      <w:start w:val="1"/>
      <w:numFmt w:val="upperLetter"/>
      <w:pStyle w:val="2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3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9"/>
      <w:suff w:val="nothing"/>
      <w:lvlText w:val="%1.%2.%3　"/>
      <w:lvlJc w:val="left"/>
      <w:pPr>
        <w:ind w:left="0" w:firstLine="0"/>
      </w:pPr>
      <w:rPr>
        <w:rFonts w:hint="eastAsia" w:ascii="黑体" w:hAnsi="Times New Roman" w:eastAsia="黑体"/>
        <w:b w:val="0"/>
        <w:i w:val="0"/>
        <w:sz w:val="21"/>
      </w:rPr>
    </w:lvl>
    <w:lvl w:ilvl="3" w:tentative="0">
      <w:start w:val="1"/>
      <w:numFmt w:val="decimal"/>
      <w:pStyle w:val="32"/>
      <w:suff w:val="nothing"/>
      <w:lvlText w:val="%1.%2.%3.%4　"/>
      <w:lvlJc w:val="left"/>
      <w:pPr>
        <w:ind w:left="0" w:firstLine="0"/>
      </w:pPr>
      <w:rPr>
        <w:rFonts w:hint="eastAsia" w:ascii="黑体" w:hAnsi="Times New Roman" w:eastAsia="黑体"/>
        <w:b w:val="0"/>
        <w:i w:val="0"/>
        <w:sz w:val="21"/>
      </w:rPr>
    </w:lvl>
    <w:lvl w:ilvl="4" w:tentative="0">
      <w:start w:val="1"/>
      <w:numFmt w:val="decimal"/>
      <w:pStyle w:val="33"/>
      <w:suff w:val="nothing"/>
      <w:lvlText w:val="%1.%2.%3.%4.%5　"/>
      <w:lvlJc w:val="left"/>
      <w:pPr>
        <w:ind w:left="0" w:firstLine="0"/>
      </w:pPr>
      <w:rPr>
        <w:rFonts w:hint="eastAsia" w:ascii="黑体" w:hAnsi="Times New Roman" w:eastAsia="黑体"/>
        <w:b w:val="0"/>
        <w:i w:val="0"/>
        <w:sz w:val="21"/>
      </w:rPr>
    </w:lvl>
    <w:lvl w:ilvl="5" w:tentative="0">
      <w:start w:val="1"/>
      <w:numFmt w:val="decimal"/>
      <w:pStyle w:val="34"/>
      <w:suff w:val="nothing"/>
      <w:lvlText w:val="%1.%2.%3.%4.%5.%6　"/>
      <w:lvlJc w:val="left"/>
      <w:pPr>
        <w:ind w:left="0" w:firstLine="0"/>
      </w:pPr>
      <w:rPr>
        <w:rFonts w:hint="eastAsia" w:ascii="黑体" w:hAnsi="Times New Roman" w:eastAsia="黑体"/>
        <w:b w:val="0"/>
        <w:i w:val="0"/>
        <w:sz w:val="21"/>
      </w:rPr>
    </w:lvl>
    <w:lvl w:ilvl="6" w:tentative="0">
      <w:start w:val="1"/>
      <w:numFmt w:val="decimal"/>
      <w:pStyle w:val="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038"/>
    <w:rsid w:val="0008793E"/>
    <w:rsid w:val="000B12EE"/>
    <w:rsid w:val="000F185A"/>
    <w:rsid w:val="00295FBF"/>
    <w:rsid w:val="00363917"/>
    <w:rsid w:val="003F74A1"/>
    <w:rsid w:val="00612B20"/>
    <w:rsid w:val="00681825"/>
    <w:rsid w:val="006C6ECE"/>
    <w:rsid w:val="006F1669"/>
    <w:rsid w:val="00747038"/>
    <w:rsid w:val="00761879"/>
    <w:rsid w:val="0078679E"/>
    <w:rsid w:val="007A0E14"/>
    <w:rsid w:val="00827199"/>
    <w:rsid w:val="00847E1A"/>
    <w:rsid w:val="0090399E"/>
    <w:rsid w:val="00A96287"/>
    <w:rsid w:val="00BE1519"/>
    <w:rsid w:val="00CA4D46"/>
    <w:rsid w:val="00E82622"/>
    <w:rsid w:val="00EC15A4"/>
    <w:rsid w:val="00FE0E0F"/>
    <w:rsid w:val="13DB5384"/>
    <w:rsid w:val="68186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49"/>
    <w:unhideWhenUsed/>
    <w:uiPriority w:val="99"/>
    <w:rPr>
      <w:b/>
      <w:bCs/>
    </w:rPr>
  </w:style>
  <w:style w:type="paragraph" w:styleId="3">
    <w:name w:val="annotation text"/>
    <w:basedOn w:val="1"/>
    <w:link w:val="48"/>
    <w:unhideWhenUsed/>
    <w:uiPriority w:val="99"/>
    <w:pPr>
      <w:jc w:val="left"/>
    </w:pPr>
  </w:style>
  <w:style w:type="paragraph" w:styleId="4">
    <w:name w:val="Balloon Text"/>
    <w:basedOn w:val="1"/>
    <w:link w:val="50"/>
    <w:unhideWhenUsed/>
    <w:uiPriority w:val="99"/>
    <w:rPr>
      <w:sz w:val="18"/>
      <w:szCs w:val="18"/>
    </w:rPr>
  </w:style>
  <w:style w:type="paragraph" w:styleId="5">
    <w:name w:val="footer"/>
    <w:basedOn w:val="1"/>
    <w:link w:val="52"/>
    <w:unhideWhenUsed/>
    <w:uiPriority w:val="99"/>
    <w:pPr>
      <w:tabs>
        <w:tab w:val="center" w:pos="4153"/>
        <w:tab w:val="right" w:pos="8306"/>
      </w:tabs>
      <w:snapToGrid w:val="0"/>
      <w:jc w:val="left"/>
    </w:pPr>
    <w:rPr>
      <w:sz w:val="18"/>
      <w:szCs w:val="18"/>
    </w:rPr>
  </w:style>
  <w:style w:type="paragraph" w:styleId="6">
    <w:name w:val="header"/>
    <w:basedOn w:val="1"/>
    <w:link w:val="51"/>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uiPriority w:val="99"/>
    <w:rPr>
      <w:sz w:val="21"/>
      <w:szCs w:val="21"/>
    </w:rPr>
  </w:style>
  <w:style w:type="paragraph" w:customStyle="1" w:styleId="10">
    <w:name w:val="段"/>
    <w:link w:val="11"/>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1">
    <w:name w:val="段 Char"/>
    <w:link w:val="10"/>
    <w:uiPriority w:val="0"/>
    <w:rPr>
      <w:rFonts w:ascii="宋体" w:hAnsi="Times New Roman" w:eastAsia="宋体" w:cs="Times New Roman"/>
      <w:kern w:val="0"/>
      <w:szCs w:val="20"/>
    </w:rPr>
  </w:style>
  <w:style w:type="paragraph" w:customStyle="1" w:styleId="12">
    <w:name w:val="一级条标题"/>
    <w:next w:val="10"/>
    <w:qFormat/>
    <w:uiPriority w:val="0"/>
    <w:pPr>
      <w:numPr>
        <w:ilvl w:val="1"/>
        <w:numId w:val="1"/>
      </w:numPr>
      <w:spacing w:before="156" w:beforeLines="50" w:after="156" w:afterLines="50"/>
      <w:outlineLvl w:val="2"/>
    </w:pPr>
    <w:rPr>
      <w:rFonts w:ascii="黑体" w:hAnsi="Times New Roman" w:eastAsia="黑体" w:cs="Times New Roman"/>
      <w:kern w:val="0"/>
      <w:sz w:val="21"/>
      <w:szCs w:val="21"/>
      <w:lang w:val="en-US" w:eastAsia="zh-CN" w:bidi="ar-SA"/>
    </w:rPr>
  </w:style>
  <w:style w:type="paragraph" w:customStyle="1" w:styleId="13">
    <w:name w:val="标准书脚_奇数页"/>
    <w:qFormat/>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4">
    <w:name w:val="标准书眉_奇数页"/>
    <w:next w:val="1"/>
    <w:qFormat/>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5">
    <w:name w:val="章标题"/>
    <w:next w:val="10"/>
    <w:qFormat/>
    <w:uiPriority w:val="0"/>
    <w:pPr>
      <w:numPr>
        <w:ilvl w:val="0"/>
        <w:numId w:val="1"/>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16">
    <w:name w:val="二级条标题"/>
    <w:basedOn w:val="12"/>
    <w:next w:val="10"/>
    <w:qFormat/>
    <w:uiPriority w:val="0"/>
    <w:pPr>
      <w:numPr>
        <w:ilvl w:val="2"/>
      </w:numPr>
      <w:spacing w:before="50" w:after="50"/>
      <w:outlineLvl w:val="3"/>
    </w:pPr>
  </w:style>
  <w:style w:type="paragraph" w:customStyle="1" w:styleId="1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8">
    <w:name w:val="目次、标准名称标题"/>
    <w:basedOn w:val="1"/>
    <w:next w:val="10"/>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19">
    <w:name w:val="三级条标题"/>
    <w:basedOn w:val="16"/>
    <w:next w:val="10"/>
    <w:uiPriority w:val="0"/>
    <w:pPr>
      <w:numPr>
        <w:ilvl w:val="3"/>
      </w:numPr>
      <w:outlineLvl w:val="4"/>
    </w:pPr>
  </w:style>
  <w:style w:type="paragraph" w:customStyle="1" w:styleId="20">
    <w:name w:val="四级条标题"/>
    <w:basedOn w:val="19"/>
    <w:next w:val="10"/>
    <w:uiPriority w:val="0"/>
    <w:pPr>
      <w:numPr>
        <w:ilvl w:val="4"/>
      </w:numPr>
      <w:outlineLvl w:val="5"/>
    </w:pPr>
  </w:style>
  <w:style w:type="paragraph" w:customStyle="1" w:styleId="21">
    <w:name w:val="五级条标题"/>
    <w:basedOn w:val="20"/>
    <w:next w:val="10"/>
    <w:uiPriority w:val="0"/>
    <w:pPr>
      <w:numPr>
        <w:ilvl w:val="5"/>
      </w:numPr>
      <w:outlineLvl w:val="6"/>
    </w:pPr>
  </w:style>
  <w:style w:type="character" w:customStyle="1" w:styleId="22">
    <w:name w:val="发布"/>
    <w:uiPriority w:val="0"/>
    <w:rPr>
      <w:rFonts w:ascii="黑体" w:eastAsia="黑体"/>
      <w:spacing w:val="85"/>
      <w:w w:val="100"/>
      <w:position w:val="3"/>
      <w:sz w:val="28"/>
      <w:szCs w:val="28"/>
    </w:rPr>
  </w:style>
  <w:style w:type="paragraph" w:customStyle="1" w:styleId="23">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4">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25">
    <w:name w:val="封面标准英文名称"/>
    <w:basedOn w:val="24"/>
    <w:uiPriority w:val="0"/>
    <w:pPr>
      <w:framePr/>
      <w:spacing w:before="370" w:line="400" w:lineRule="exact"/>
    </w:pPr>
    <w:rPr>
      <w:rFonts w:ascii="Times New Roman"/>
      <w:sz w:val="28"/>
      <w:szCs w:val="28"/>
    </w:rPr>
  </w:style>
  <w:style w:type="paragraph" w:customStyle="1" w:styleId="26">
    <w:name w:val="封面一致性程度标识"/>
    <w:basedOn w:val="25"/>
    <w:uiPriority w:val="0"/>
    <w:pPr>
      <w:framePr/>
      <w:spacing w:before="440"/>
    </w:pPr>
    <w:rPr>
      <w:rFonts w:ascii="宋体" w:eastAsia="宋体"/>
    </w:rPr>
  </w:style>
  <w:style w:type="paragraph" w:customStyle="1" w:styleId="27">
    <w:name w:val="封面标准文稿类别"/>
    <w:basedOn w:val="26"/>
    <w:qFormat/>
    <w:uiPriority w:val="0"/>
    <w:pPr>
      <w:framePr/>
      <w:spacing w:after="160" w:line="240" w:lineRule="auto"/>
    </w:pPr>
    <w:rPr>
      <w:sz w:val="24"/>
    </w:rPr>
  </w:style>
  <w:style w:type="paragraph" w:customStyle="1" w:styleId="28">
    <w:name w:val="封面标准文稿编辑信息"/>
    <w:basedOn w:val="27"/>
    <w:qFormat/>
    <w:uiPriority w:val="0"/>
    <w:pPr>
      <w:framePr/>
      <w:spacing w:before="180" w:line="180" w:lineRule="exact"/>
    </w:pPr>
    <w:rPr>
      <w:sz w:val="21"/>
    </w:rPr>
  </w:style>
  <w:style w:type="paragraph" w:customStyle="1" w:styleId="29">
    <w:name w:val="附录标识"/>
    <w:basedOn w:val="1"/>
    <w:next w:val="10"/>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30">
    <w:name w:val="附录表标号"/>
    <w:basedOn w:val="1"/>
    <w:next w:val="10"/>
    <w:uiPriority w:val="0"/>
    <w:pPr>
      <w:numPr>
        <w:ilvl w:val="0"/>
        <w:numId w:val="3"/>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31">
    <w:name w:val="附录表标题"/>
    <w:basedOn w:val="1"/>
    <w:next w:val="10"/>
    <w:uiPriority w:val="0"/>
    <w:pPr>
      <w:numPr>
        <w:ilvl w:val="1"/>
        <w:numId w:val="3"/>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32">
    <w:name w:val="附录二级条标题"/>
    <w:basedOn w:val="1"/>
    <w:next w:val="10"/>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33">
    <w:name w:val="附录三级条标题"/>
    <w:basedOn w:val="32"/>
    <w:next w:val="10"/>
    <w:uiPriority w:val="0"/>
    <w:pPr>
      <w:numPr>
        <w:ilvl w:val="4"/>
      </w:numPr>
      <w:outlineLvl w:val="4"/>
    </w:pPr>
  </w:style>
  <w:style w:type="paragraph" w:customStyle="1" w:styleId="34">
    <w:name w:val="附录四级条标题"/>
    <w:basedOn w:val="33"/>
    <w:next w:val="10"/>
    <w:uiPriority w:val="0"/>
    <w:pPr>
      <w:numPr>
        <w:ilvl w:val="5"/>
      </w:numPr>
      <w:outlineLvl w:val="5"/>
    </w:pPr>
  </w:style>
  <w:style w:type="paragraph" w:customStyle="1" w:styleId="35">
    <w:name w:val="附录图标号"/>
    <w:basedOn w:val="1"/>
    <w:uiPriority w:val="0"/>
    <w:pPr>
      <w:keepNext/>
      <w:pageBreakBefore/>
      <w:widowControl/>
      <w:numPr>
        <w:ilvl w:val="0"/>
        <w:numId w:val="4"/>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36">
    <w:name w:val="附录图标题"/>
    <w:basedOn w:val="1"/>
    <w:next w:val="10"/>
    <w:uiPriority w:val="0"/>
    <w:pPr>
      <w:numPr>
        <w:ilvl w:val="1"/>
        <w:numId w:val="4"/>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37">
    <w:name w:val="附录五级条标题"/>
    <w:basedOn w:val="34"/>
    <w:next w:val="10"/>
    <w:uiPriority w:val="0"/>
    <w:pPr>
      <w:numPr>
        <w:ilvl w:val="6"/>
      </w:numPr>
      <w:outlineLvl w:val="6"/>
    </w:pPr>
  </w:style>
  <w:style w:type="paragraph" w:customStyle="1" w:styleId="38">
    <w:name w:val="附录章标题"/>
    <w:next w:val="10"/>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39">
    <w:name w:val="附录一级条标题"/>
    <w:basedOn w:val="38"/>
    <w:next w:val="10"/>
    <w:uiPriority w:val="0"/>
    <w:pPr>
      <w:numPr>
        <w:ilvl w:val="2"/>
      </w:numPr>
      <w:autoSpaceDN w:val="0"/>
      <w:spacing w:before="50" w:beforeLines="50" w:after="50" w:afterLines="50"/>
      <w:outlineLvl w:val="2"/>
    </w:pPr>
  </w:style>
  <w:style w:type="paragraph" w:customStyle="1" w:styleId="40">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41">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42">
    <w:name w:val="其他发布部门"/>
    <w:basedOn w:val="1"/>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3">
    <w:name w:val="前言、引言标题"/>
    <w:next w:val="10"/>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44">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45">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46">
    <w:name w:val="其他发布日期"/>
    <w:basedOn w:val="1"/>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7">
    <w:name w:val="其他实施日期"/>
    <w:basedOn w:val="1"/>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48">
    <w:name w:val="批注文字 Char"/>
    <w:basedOn w:val="7"/>
    <w:link w:val="3"/>
    <w:semiHidden/>
    <w:uiPriority w:val="99"/>
  </w:style>
  <w:style w:type="character" w:customStyle="1" w:styleId="49">
    <w:name w:val="批注主题 Char"/>
    <w:basedOn w:val="48"/>
    <w:link w:val="2"/>
    <w:semiHidden/>
    <w:uiPriority w:val="99"/>
    <w:rPr>
      <w:b/>
      <w:bCs/>
    </w:rPr>
  </w:style>
  <w:style w:type="character" w:customStyle="1" w:styleId="50">
    <w:name w:val="批注框文本 Char"/>
    <w:basedOn w:val="7"/>
    <w:link w:val="4"/>
    <w:semiHidden/>
    <w:uiPriority w:val="99"/>
    <w:rPr>
      <w:sz w:val="18"/>
      <w:szCs w:val="18"/>
    </w:rPr>
  </w:style>
  <w:style w:type="character" w:customStyle="1" w:styleId="51">
    <w:name w:val="页眉 Char"/>
    <w:basedOn w:val="7"/>
    <w:link w:val="6"/>
    <w:uiPriority w:val="99"/>
    <w:rPr>
      <w:sz w:val="18"/>
      <w:szCs w:val="18"/>
    </w:rPr>
  </w:style>
  <w:style w:type="character" w:customStyle="1" w:styleId="52">
    <w:name w:val="页脚 Char"/>
    <w:basedOn w:val="7"/>
    <w:link w:val="5"/>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28"/>
    <customShpInfo spid="_x0000_s1030"/>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610</Words>
  <Characters>3478</Characters>
  <Lines>28</Lines>
  <Paragraphs>8</Paragraphs>
  <TotalTime>129</TotalTime>
  <ScaleCrop>false</ScaleCrop>
  <LinksUpToDate>false</LinksUpToDate>
  <CharactersWithSpaces>4080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2020-11-17T10:39:00Z</dcterms:created>
  <dc:creator>Lenovo</dc:creator>
  <cp:lastModifiedBy>HCH</cp:lastModifiedBy>
  <cp:lastPrinted>2020-11-26T08:07:00Z</cp:lastPrinted>
  <dcterms:modified xsi:type="dcterms:W3CDTF">2020-11-30T02:44:33Z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